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86B" w:rsidRDefault="0055286B" w:rsidP="00C02439">
      <w:pPr>
        <w:jc w:val="center"/>
        <w:rPr>
          <w:rFonts w:ascii="Papyrus" w:hAnsi="Papyrus"/>
          <w:b/>
          <w:sz w:val="28"/>
          <w:szCs w:val="28"/>
          <w:lang w:val="en-US"/>
        </w:rPr>
      </w:pPr>
      <w:r>
        <w:rPr>
          <w:rFonts w:ascii="Papyrus" w:hAnsi="Papyrus"/>
          <w:noProof/>
          <w:lang w:val="en-US"/>
        </w:rPr>
        <w:drawing>
          <wp:inline distT="0" distB="0" distL="0" distR="0" wp14:anchorId="060B8A62" wp14:editId="03C895B7">
            <wp:extent cx="1359877" cy="13598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SDII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0933" cy="1360933"/>
                    </a:xfrm>
                    <a:prstGeom prst="rect">
                      <a:avLst/>
                    </a:prstGeom>
                  </pic:spPr>
                </pic:pic>
              </a:graphicData>
            </a:graphic>
          </wp:inline>
        </w:drawing>
      </w:r>
    </w:p>
    <w:p w:rsidR="0055286B" w:rsidRPr="00B7345A" w:rsidRDefault="0055286B" w:rsidP="00C02439">
      <w:pPr>
        <w:jc w:val="center"/>
        <w:rPr>
          <w:rFonts w:ascii="Papyrus" w:hAnsi="Papyrus"/>
          <w:b/>
          <w:sz w:val="20"/>
          <w:szCs w:val="28"/>
          <w:lang w:val="en-US"/>
        </w:rPr>
      </w:pPr>
    </w:p>
    <w:p w:rsidR="00C02439" w:rsidRPr="00C02439" w:rsidRDefault="00C02439" w:rsidP="00C02439">
      <w:pPr>
        <w:jc w:val="center"/>
        <w:rPr>
          <w:rFonts w:ascii="Papyrus" w:hAnsi="Papyrus"/>
          <w:b/>
          <w:sz w:val="28"/>
          <w:szCs w:val="28"/>
          <w:lang w:val="en-US"/>
        </w:rPr>
      </w:pPr>
      <w:r w:rsidRPr="007453A1">
        <w:rPr>
          <w:rFonts w:ascii="Papyrus" w:hAnsi="Papyrus"/>
          <w:b/>
          <w:sz w:val="28"/>
          <w:szCs w:val="28"/>
          <w:lang w:val="en-US"/>
        </w:rPr>
        <w:t>TISS AESDII –</w:t>
      </w:r>
      <w:r w:rsidR="00E51D3C">
        <w:rPr>
          <w:rFonts w:ascii="Papyrus" w:hAnsi="Papyrus"/>
          <w:b/>
          <w:sz w:val="28"/>
          <w:szCs w:val="28"/>
          <w:lang w:val="en-US"/>
        </w:rPr>
        <w:t xml:space="preserve"> Conclaves </w:t>
      </w:r>
      <w:r w:rsidRPr="007453A1">
        <w:rPr>
          <w:rFonts w:ascii="Papyrus" w:hAnsi="Papyrus"/>
          <w:b/>
          <w:sz w:val="28"/>
          <w:szCs w:val="28"/>
          <w:lang w:val="en-US"/>
        </w:rPr>
        <w:t>for Building CSR Partnerships</w:t>
      </w:r>
    </w:p>
    <w:p w:rsidR="0055286B" w:rsidRDefault="0055286B" w:rsidP="0055286B">
      <w:pPr>
        <w:jc w:val="both"/>
        <w:rPr>
          <w:bCs/>
        </w:rPr>
      </w:pPr>
    </w:p>
    <w:p w:rsidR="0055286B" w:rsidRDefault="0055286B" w:rsidP="0055286B">
      <w:r w:rsidRPr="0055286B">
        <w:rPr>
          <w:rStyle w:val="Heading2Char"/>
        </w:rPr>
        <w:t xml:space="preserve">About TISS AESDII </w:t>
      </w:r>
    </w:p>
    <w:p w:rsidR="00570616" w:rsidRDefault="0055286B" w:rsidP="0055286B">
      <w:pPr>
        <w:jc w:val="both"/>
      </w:pPr>
      <w:r w:rsidRPr="0055286B">
        <w:t xml:space="preserve">TISS Assessment and Empanelment Standards for Development Institutions in India (TISS AESDII) is an </w:t>
      </w:r>
      <w:r w:rsidR="00761DD9">
        <w:t>initiative</w:t>
      </w:r>
      <w:r w:rsidRPr="0055286B">
        <w:t xml:space="preserve"> to create a model to evaluate, assess, accre</w:t>
      </w:r>
      <w:r w:rsidR="00C96B00">
        <w:t>dit and build capacities of Non-</w:t>
      </w:r>
      <w:r w:rsidRPr="0055286B">
        <w:t>Profit Organisations (NPOs)</w:t>
      </w:r>
      <w:r w:rsidR="00761DD9">
        <w:t xml:space="preserve"> and Social Sector Organisations (SSOs)</w:t>
      </w:r>
      <w:r w:rsidRPr="0055286B">
        <w:t xml:space="preserve"> through robust multi-layered processes that stress adherence to </w:t>
      </w:r>
      <w:r w:rsidR="00761DD9">
        <w:t>several</w:t>
      </w:r>
      <w:r w:rsidRPr="0055286B">
        <w:t xml:space="preserve"> parameters, a combination of financial and programmatic. By participating in these processes, organisations also reflect and introspect on both successes and shortcomings o</w:t>
      </w:r>
      <w:r w:rsidR="00761DD9">
        <w:t>f their work. The intent of the TISS AESDII</w:t>
      </w:r>
      <w:r w:rsidRPr="0055286B">
        <w:t xml:space="preserve"> framework/template is to serve as a means of cap</w:t>
      </w:r>
      <w:r w:rsidR="00761DD9">
        <w:t xml:space="preserve">acity building of organisations </w:t>
      </w:r>
      <w:r w:rsidR="00FF5662">
        <w:t>for</w:t>
      </w:r>
      <w:r w:rsidR="00761DD9">
        <w:t xml:space="preserve"> transform</w:t>
      </w:r>
      <w:r w:rsidR="00FF5662">
        <w:t>ing</w:t>
      </w:r>
      <w:r w:rsidR="00761DD9">
        <w:t xml:space="preserve"> </w:t>
      </w:r>
      <w:r w:rsidRPr="0055286B">
        <w:t>the everyday business of NPOs</w:t>
      </w:r>
      <w:r w:rsidR="00761DD9">
        <w:t>, and preferably members of the community through participatory decision-making processes.</w:t>
      </w:r>
      <w:r w:rsidRPr="0055286B">
        <w:t xml:space="preserve"> </w:t>
      </w:r>
    </w:p>
    <w:p w:rsidR="00B7345A" w:rsidRDefault="00B7345A" w:rsidP="0055286B">
      <w:pPr>
        <w:jc w:val="both"/>
      </w:pPr>
    </w:p>
    <w:p w:rsidR="0055286B" w:rsidRPr="00B7345A" w:rsidRDefault="0055286B" w:rsidP="0055286B">
      <w:pPr>
        <w:jc w:val="both"/>
        <w:rPr>
          <w:rStyle w:val="Emphasis"/>
          <w:color w:val="70AD47" w:themeColor="accent6"/>
        </w:rPr>
      </w:pPr>
      <w:r w:rsidRPr="00B7345A">
        <w:rPr>
          <w:rStyle w:val="IntenseQuoteChar"/>
          <w:color w:val="70AD47" w:themeColor="accent6"/>
        </w:rPr>
        <w:t xml:space="preserve">TISS AESDII promotes collective, inclusive and participatory discussions among all organisational members. </w:t>
      </w:r>
      <w:r w:rsidR="00761DD9" w:rsidRPr="00B7345A">
        <w:rPr>
          <w:rStyle w:val="IntenseQuoteChar"/>
          <w:color w:val="70AD47" w:themeColor="accent6"/>
        </w:rPr>
        <w:t xml:space="preserve">TISS AESDII has inter-linked </w:t>
      </w:r>
      <w:r w:rsidR="00570616" w:rsidRPr="00B7345A">
        <w:rPr>
          <w:rStyle w:val="IntenseQuoteChar"/>
          <w:color w:val="70AD47" w:themeColor="accent6"/>
        </w:rPr>
        <w:t>activities</w:t>
      </w:r>
      <w:r w:rsidR="00761DD9" w:rsidRPr="00B7345A">
        <w:rPr>
          <w:rStyle w:val="IntenseQuoteChar"/>
          <w:color w:val="70AD47" w:themeColor="accent6"/>
        </w:rPr>
        <w:t xml:space="preserve"> namely a</w:t>
      </w:r>
      <w:r w:rsidRPr="00B7345A">
        <w:rPr>
          <w:rStyle w:val="IntenseQuoteChar"/>
          <w:color w:val="70AD47" w:themeColor="accent6"/>
        </w:rPr>
        <w:t xml:space="preserve"> project proposal bank, training and capacity building </w:t>
      </w:r>
      <w:r w:rsidR="00761DD9" w:rsidRPr="00B7345A">
        <w:rPr>
          <w:rStyle w:val="IntenseQuoteChar"/>
          <w:color w:val="70AD47" w:themeColor="accent6"/>
        </w:rPr>
        <w:t xml:space="preserve">vertical </w:t>
      </w:r>
      <w:r w:rsidRPr="00B7345A">
        <w:rPr>
          <w:rStyle w:val="IntenseQuoteChar"/>
          <w:color w:val="70AD47" w:themeColor="accent6"/>
        </w:rPr>
        <w:t>and</w:t>
      </w:r>
      <w:r w:rsidR="00761DD9" w:rsidRPr="00B7345A">
        <w:rPr>
          <w:rStyle w:val="IntenseQuoteChar"/>
          <w:color w:val="70AD47" w:themeColor="accent6"/>
        </w:rPr>
        <w:t xml:space="preserve"> knowledge sharing network which develops through</w:t>
      </w:r>
      <w:r w:rsidR="00B7345A" w:rsidRPr="00B7345A">
        <w:rPr>
          <w:rStyle w:val="IntenseQuoteChar"/>
          <w:color w:val="70AD47" w:themeColor="accent6"/>
        </w:rPr>
        <w:t xml:space="preserve"> both</w:t>
      </w:r>
      <w:r w:rsidR="00761DD9" w:rsidRPr="00B7345A">
        <w:rPr>
          <w:rStyle w:val="IntenseQuoteChar"/>
          <w:color w:val="70AD47" w:themeColor="accent6"/>
        </w:rPr>
        <w:t xml:space="preserve"> knowledge creation &amp; dissemination and research &amp; consultation.</w:t>
      </w:r>
      <w:r w:rsidR="00761DD9" w:rsidRPr="00B7345A">
        <w:rPr>
          <w:rStyle w:val="Emphasis"/>
          <w:color w:val="70AD47" w:themeColor="accent6"/>
        </w:rPr>
        <w:t xml:space="preserve"> </w:t>
      </w:r>
    </w:p>
    <w:p w:rsidR="0055286B" w:rsidRPr="0055286B" w:rsidRDefault="0055286B" w:rsidP="0055286B">
      <w:pPr>
        <w:jc w:val="both"/>
      </w:pPr>
    </w:p>
    <w:p w:rsidR="0055286B" w:rsidRPr="0055286B" w:rsidRDefault="0055286B" w:rsidP="0055286B">
      <w:pPr>
        <w:jc w:val="both"/>
      </w:pPr>
      <w:r w:rsidRPr="0055286B">
        <w:t xml:space="preserve">Inspired by </w:t>
      </w:r>
      <w:r w:rsidR="00761DD9">
        <w:t>a</w:t>
      </w:r>
      <w:r w:rsidRPr="0055286B">
        <w:t xml:space="preserve"> vision to reform and transform the development sector in India through ‘reimagining futures’, the TISS AESDII emphasises on greater convergence and collaboration, heightene</w:t>
      </w:r>
      <w:r w:rsidR="00CC3C9C">
        <w:t>d professionalism, transparency &amp;</w:t>
      </w:r>
      <w:r w:rsidRPr="0055286B">
        <w:t xml:space="preserve"> accountability and outcome oriented work of </w:t>
      </w:r>
      <w:r w:rsidR="006216CE">
        <w:t>NPOs</w:t>
      </w:r>
      <w:r w:rsidRPr="0055286B">
        <w:t xml:space="preserve"> in the development sector. </w:t>
      </w:r>
      <w:r w:rsidR="00761DD9" w:rsidRPr="0055286B">
        <w:t>As a significant partner for both corporations and NPOs, TISS AESDII aspires to become a thinking doer, thought leader and enabler in the achievement of social impact.</w:t>
      </w:r>
      <w:r w:rsidR="00570616">
        <w:t xml:space="preserve"> </w:t>
      </w:r>
      <w:r w:rsidRPr="0055286B">
        <w:t>In repositioning TISS AESDII, the priorities of the mandate are on training &amp; capacity building and research</w:t>
      </w:r>
      <w:r>
        <w:t>.</w:t>
      </w:r>
      <w:r w:rsidR="00761DD9">
        <w:t xml:space="preserve"> The conclaves are a step in that direction.</w:t>
      </w:r>
    </w:p>
    <w:p w:rsidR="0055286B" w:rsidRDefault="0055286B" w:rsidP="0055286B"/>
    <w:p w:rsidR="00D91F14" w:rsidRPr="00C02439" w:rsidRDefault="00C02439" w:rsidP="00C02439">
      <w:pPr>
        <w:pStyle w:val="Heading2"/>
      </w:pPr>
      <w:r>
        <w:t>Concept Note</w:t>
      </w:r>
      <w:r w:rsidR="0055286B" w:rsidRPr="0055286B">
        <w:t xml:space="preserve"> </w:t>
      </w:r>
      <w:r w:rsidR="0055286B">
        <w:t>on “</w:t>
      </w:r>
      <w:r w:rsidR="00761DD9">
        <w:t xml:space="preserve">TISS AESDII – </w:t>
      </w:r>
      <w:r w:rsidR="0055286B" w:rsidRPr="0055286B">
        <w:t>Conclave</w:t>
      </w:r>
      <w:r w:rsidR="00761DD9">
        <w:t>s</w:t>
      </w:r>
      <w:r w:rsidR="0055286B" w:rsidRPr="0055286B">
        <w:t xml:space="preserve"> for Building CSR Partnerships</w:t>
      </w:r>
      <w:r w:rsidR="0055286B">
        <w:t>”</w:t>
      </w:r>
    </w:p>
    <w:p w:rsidR="00293CBE" w:rsidRDefault="00293CBE" w:rsidP="00293CBE">
      <w:pPr>
        <w:jc w:val="both"/>
        <w:rPr>
          <w:bCs/>
        </w:rPr>
      </w:pPr>
      <w:r>
        <w:rPr>
          <w:bCs/>
          <w:noProof/>
        </w:rPr>
        <w:drawing>
          <wp:anchor distT="0" distB="0" distL="114300" distR="114300" simplePos="0" relativeHeight="251658240" behindDoc="1" locked="0" layoutInCell="1" allowOverlap="1" wp14:anchorId="79EF3DA8">
            <wp:simplePos x="0" y="0"/>
            <wp:positionH relativeFrom="column">
              <wp:posOffset>2965622</wp:posOffset>
            </wp:positionH>
            <wp:positionV relativeFrom="paragraph">
              <wp:posOffset>806604</wp:posOffset>
            </wp:positionV>
            <wp:extent cx="3548380" cy="2286000"/>
            <wp:effectExtent l="0" t="304800" r="7620" b="25400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CF18F3">
        <w:rPr>
          <w:bCs/>
        </w:rPr>
        <w:t>As one of the foundational think tanks on CSR and one of the leading universities in the social sciences in India, Tata Institute of Social Sciences (TISS) is organising a series of conclaves. The “TISS AESDII</w:t>
      </w:r>
      <w:r w:rsidR="00CF18F3" w:rsidRPr="005D62C7">
        <w:rPr>
          <w:bCs/>
        </w:rPr>
        <w:t xml:space="preserve"> </w:t>
      </w:r>
      <w:r w:rsidR="00CF18F3">
        <w:rPr>
          <w:bCs/>
        </w:rPr>
        <w:t>– Conclaves for Building CSR Partnerships” seek to be platform for action and f</w:t>
      </w:r>
      <w:bookmarkStart w:id="0" w:name="_GoBack"/>
      <w:bookmarkEnd w:id="0"/>
      <w:r w:rsidR="00CF18F3">
        <w:rPr>
          <w:bCs/>
        </w:rPr>
        <w:t xml:space="preserve">orum which apart from providing ways of thinking and doing, will connect the dots between donors and implementing agencies. Different stakeholders involved in the business of CSR will come together and build partnerships that create social impact. </w:t>
      </w:r>
    </w:p>
    <w:p w:rsidR="00293CBE" w:rsidRDefault="00293CBE" w:rsidP="00293CBE">
      <w:pPr>
        <w:jc w:val="both"/>
        <w:rPr>
          <w:bCs/>
        </w:rPr>
      </w:pPr>
    </w:p>
    <w:p w:rsidR="00293CBE" w:rsidRDefault="00293CBE" w:rsidP="00293CBE">
      <w:pPr>
        <w:jc w:val="both"/>
        <w:rPr>
          <w:bCs/>
        </w:rPr>
      </w:pPr>
      <w:r>
        <w:rPr>
          <w:bCs/>
        </w:rPr>
        <w:t xml:space="preserve">Entailing a comprehensive schedule that includes takeaways for all partners, the </w:t>
      </w:r>
      <w:r w:rsidR="00EE4A21">
        <w:rPr>
          <w:bCs/>
        </w:rPr>
        <w:t>Western</w:t>
      </w:r>
      <w:r>
        <w:rPr>
          <w:bCs/>
        </w:rPr>
        <w:t xml:space="preserve"> Conclave is the </w:t>
      </w:r>
      <w:r w:rsidR="00EE4A21">
        <w:rPr>
          <w:bCs/>
        </w:rPr>
        <w:t>second</w:t>
      </w:r>
      <w:r>
        <w:rPr>
          <w:bCs/>
        </w:rPr>
        <w:t xml:space="preserve"> in a series of regional consultations cum workshops to be held this year.</w:t>
      </w:r>
    </w:p>
    <w:p w:rsidR="00293CBE" w:rsidRDefault="00293CBE" w:rsidP="006516CB">
      <w:pPr>
        <w:jc w:val="both"/>
        <w:rPr>
          <w:bCs/>
        </w:rPr>
      </w:pPr>
    </w:p>
    <w:p w:rsidR="00293CBE" w:rsidRDefault="00293CBE" w:rsidP="006516CB">
      <w:pPr>
        <w:jc w:val="both"/>
        <w:rPr>
          <w:bCs/>
        </w:rPr>
      </w:pPr>
    </w:p>
    <w:p w:rsidR="00CF18F3" w:rsidRDefault="00CF18F3" w:rsidP="006516CB">
      <w:pPr>
        <w:jc w:val="both"/>
        <w:rPr>
          <w:bCs/>
        </w:rPr>
      </w:pPr>
      <w:r>
        <w:rPr>
          <w:bCs/>
        </w:rPr>
        <w:lastRenderedPageBreak/>
        <w:t>The Conclaves are an opportunity to explore synergies between funders and non-profits, for strengthening their respective internal capacities, and building partnerships to</w:t>
      </w:r>
      <w:r w:rsidR="00293CBE">
        <w:rPr>
          <w:bCs/>
        </w:rPr>
        <w:t xml:space="preserve"> make the world a better place. </w:t>
      </w:r>
      <w:r w:rsidR="00AF15C6">
        <w:rPr>
          <w:bCs/>
        </w:rPr>
        <w:t>T</w:t>
      </w:r>
      <w:r w:rsidR="00293CBE">
        <w:rPr>
          <w:bCs/>
        </w:rPr>
        <w:t xml:space="preserve">he </w:t>
      </w:r>
      <w:r w:rsidR="00570616">
        <w:rPr>
          <w:bCs/>
        </w:rPr>
        <w:t>f</w:t>
      </w:r>
      <w:r w:rsidR="00293CBE">
        <w:rPr>
          <w:bCs/>
        </w:rPr>
        <w:t xml:space="preserve">ive Ws </w:t>
      </w:r>
      <w:r w:rsidR="00570616">
        <w:rPr>
          <w:bCs/>
        </w:rPr>
        <w:t>how</w:t>
      </w:r>
      <w:r w:rsidR="0057698C">
        <w:rPr>
          <w:bCs/>
        </w:rPr>
        <w:t xml:space="preserve"> </w:t>
      </w:r>
      <w:r w:rsidR="00AF15C6">
        <w:rPr>
          <w:bCs/>
        </w:rPr>
        <w:t>questions</w:t>
      </w:r>
      <w:r w:rsidR="0057698C">
        <w:rPr>
          <w:bCs/>
        </w:rPr>
        <w:t xml:space="preserve"> pertaining to the Conclaves</w:t>
      </w:r>
      <w:r w:rsidR="00AF15C6">
        <w:rPr>
          <w:bCs/>
        </w:rPr>
        <w:t xml:space="preserve"> are addressed in the following paragraphs.</w:t>
      </w:r>
    </w:p>
    <w:p w:rsidR="00293CBE" w:rsidRDefault="00293CBE" w:rsidP="006516CB">
      <w:pPr>
        <w:jc w:val="both"/>
        <w:rPr>
          <w:bCs/>
        </w:rPr>
      </w:pPr>
    </w:p>
    <w:p w:rsidR="002C467F" w:rsidRDefault="00AB1630" w:rsidP="006516CB">
      <w:pPr>
        <w:jc w:val="both"/>
        <w:rPr>
          <w:bCs/>
        </w:rPr>
      </w:pPr>
      <w:r>
        <w:rPr>
          <w:bCs/>
        </w:rPr>
        <w:t xml:space="preserve">In a world </w:t>
      </w:r>
      <w:r w:rsidR="006516CB">
        <w:rPr>
          <w:bCs/>
        </w:rPr>
        <w:t>of</w:t>
      </w:r>
      <w:r>
        <w:rPr>
          <w:bCs/>
        </w:rPr>
        <w:t xml:space="preserve"> disruptive technology, information and an increasingly aspiring civil society</w:t>
      </w:r>
      <w:r w:rsidR="002C467F">
        <w:rPr>
          <w:bCs/>
        </w:rPr>
        <w:t xml:space="preserve"> –</w:t>
      </w:r>
      <w:r w:rsidR="00955955">
        <w:rPr>
          <w:bCs/>
        </w:rPr>
        <w:t xml:space="preserve"> </w:t>
      </w:r>
      <w:r w:rsidR="006516CB">
        <w:rPr>
          <w:bCs/>
        </w:rPr>
        <w:t>inequalities are becoming further perceptible.</w:t>
      </w:r>
      <w:r w:rsidR="00013FE2">
        <w:rPr>
          <w:bCs/>
        </w:rPr>
        <w:t xml:space="preserve"> Addressing the</w:t>
      </w:r>
      <w:r w:rsidR="006516CB">
        <w:rPr>
          <w:bCs/>
        </w:rPr>
        <w:t xml:space="preserve"> world’s biggest problems </w:t>
      </w:r>
      <w:r w:rsidR="00D30872">
        <w:rPr>
          <w:bCs/>
        </w:rPr>
        <w:t xml:space="preserve">then </w:t>
      </w:r>
      <w:r w:rsidR="00013FE2">
        <w:rPr>
          <w:bCs/>
        </w:rPr>
        <w:t>requires participation from multiple stakeholders. And therefore,</w:t>
      </w:r>
      <w:r w:rsidR="00013FE2" w:rsidRPr="00013FE2">
        <w:rPr>
          <w:bCs/>
        </w:rPr>
        <w:t xml:space="preserve"> </w:t>
      </w:r>
      <w:r w:rsidR="00013FE2">
        <w:rPr>
          <w:bCs/>
        </w:rPr>
        <w:t>Goal 17 of the</w:t>
      </w:r>
      <w:r w:rsidR="00013FE2" w:rsidRPr="00597AE2">
        <w:rPr>
          <w:bCs/>
        </w:rPr>
        <w:t xml:space="preserve"> Sustainable Development Goals (SDGs) adopted in</w:t>
      </w:r>
      <w:r w:rsidR="00013FE2">
        <w:rPr>
          <w:bCs/>
        </w:rPr>
        <w:t xml:space="preserve"> the year 2016 is defined as ‘Partnerships for the Goals”. The SDGs </w:t>
      </w:r>
      <w:r w:rsidR="00013FE2" w:rsidRPr="00013FE2">
        <w:rPr>
          <w:bCs/>
        </w:rPr>
        <w:t>are a universal call to action to end poverty, protect the planet and ensure that all people enjoy peace and prosperity.</w:t>
      </w:r>
    </w:p>
    <w:p w:rsidR="003B6929" w:rsidRDefault="003B6929" w:rsidP="003B6929">
      <w:pPr>
        <w:jc w:val="both"/>
        <w:rPr>
          <w:bCs/>
        </w:rPr>
      </w:pPr>
    </w:p>
    <w:p w:rsidR="00812658" w:rsidRDefault="003B6929" w:rsidP="003B6929">
      <w:pPr>
        <w:jc w:val="both"/>
        <w:rPr>
          <w:bCs/>
        </w:rPr>
      </w:pPr>
      <w:r>
        <w:rPr>
          <w:bCs/>
        </w:rPr>
        <w:t xml:space="preserve">Businesses worldwide </w:t>
      </w:r>
      <w:r w:rsidR="00486CB0">
        <w:rPr>
          <w:bCs/>
        </w:rPr>
        <w:t>have begun</w:t>
      </w:r>
      <w:r>
        <w:rPr>
          <w:bCs/>
        </w:rPr>
        <w:t xml:space="preserve"> </w:t>
      </w:r>
      <w:r w:rsidR="00CD19A9">
        <w:rPr>
          <w:bCs/>
        </w:rPr>
        <w:t xml:space="preserve">thinking about </w:t>
      </w:r>
      <w:r>
        <w:rPr>
          <w:bCs/>
        </w:rPr>
        <w:t xml:space="preserve">including a triple bottom line approach as routine practice. Accounting for profit, people and planet </w:t>
      </w:r>
      <w:r w:rsidR="002C467F">
        <w:rPr>
          <w:bCs/>
        </w:rPr>
        <w:t>is becoming</w:t>
      </w:r>
      <w:r>
        <w:rPr>
          <w:bCs/>
        </w:rPr>
        <w:t xml:space="preserve"> the way forward</w:t>
      </w:r>
      <w:r w:rsidR="00E87917">
        <w:rPr>
          <w:bCs/>
        </w:rPr>
        <w:t xml:space="preserve"> to </w:t>
      </w:r>
      <w:r w:rsidR="00486CB0">
        <w:rPr>
          <w:bCs/>
        </w:rPr>
        <w:t>build</w:t>
      </w:r>
      <w:r w:rsidR="00E87917">
        <w:rPr>
          <w:bCs/>
        </w:rPr>
        <w:t xml:space="preserve"> solutions in the development space</w:t>
      </w:r>
      <w:r>
        <w:rPr>
          <w:bCs/>
        </w:rPr>
        <w:t xml:space="preserve">. In India, Corporate Social Responsibility (CSR) is mandated by legislation. However, </w:t>
      </w:r>
      <w:r w:rsidR="00761DD9">
        <w:rPr>
          <w:bCs/>
        </w:rPr>
        <w:t>four</w:t>
      </w:r>
      <w:r>
        <w:rPr>
          <w:bCs/>
        </w:rPr>
        <w:t xml:space="preserve"> years after the legislation, enterprises are looking at CSR </w:t>
      </w:r>
      <w:r w:rsidR="00E436EB">
        <w:rPr>
          <w:bCs/>
        </w:rPr>
        <w:t>as</w:t>
      </w:r>
      <w:r>
        <w:rPr>
          <w:bCs/>
        </w:rPr>
        <w:t xml:space="preserve"> serious business</w:t>
      </w:r>
      <w:r w:rsidR="00486CB0">
        <w:rPr>
          <w:bCs/>
        </w:rPr>
        <w:t xml:space="preserve"> and not just an obligation</w:t>
      </w:r>
      <w:r>
        <w:rPr>
          <w:bCs/>
        </w:rPr>
        <w:t xml:space="preserve">. </w:t>
      </w:r>
      <w:r w:rsidR="0034257F">
        <w:rPr>
          <w:bCs/>
        </w:rPr>
        <w:t xml:space="preserve">Funding to the non-profit sector is now being subjected to accountability mechanisms borrowed from the management disciplines. Metrics for social impact are becoming increasingly relevant. </w:t>
      </w:r>
      <w:r w:rsidR="00101C2C">
        <w:rPr>
          <w:bCs/>
        </w:rPr>
        <w:t xml:space="preserve">Setting of milestones, delivering outputs within timeframes, defining outcome indicators and further undertaking impact assessments are basic requisites demanded </w:t>
      </w:r>
      <w:r w:rsidR="00CD19A9">
        <w:rPr>
          <w:bCs/>
        </w:rPr>
        <w:t>by</w:t>
      </w:r>
      <w:r w:rsidR="00101C2C">
        <w:rPr>
          <w:bCs/>
        </w:rPr>
        <w:t xml:space="preserve"> funders. Enterprises are conducting Social Return on Investment (SROI) analyses </w:t>
      </w:r>
      <w:r w:rsidR="00BD45A9">
        <w:rPr>
          <w:bCs/>
        </w:rPr>
        <w:t>to deliver and quantify social impact with utmost rigour.</w:t>
      </w:r>
      <w:r w:rsidR="00CD19A9">
        <w:rPr>
          <w:bCs/>
        </w:rPr>
        <w:t xml:space="preserve"> </w:t>
      </w:r>
    </w:p>
    <w:p w:rsidR="00BD45A9" w:rsidRDefault="00BD45A9" w:rsidP="003B6929">
      <w:pPr>
        <w:jc w:val="both"/>
        <w:rPr>
          <w:bCs/>
        </w:rPr>
      </w:pPr>
    </w:p>
    <w:p w:rsidR="006A4EA4" w:rsidRDefault="00BD45A9" w:rsidP="003B6929">
      <w:pPr>
        <w:jc w:val="both"/>
        <w:rPr>
          <w:bCs/>
        </w:rPr>
      </w:pPr>
      <w:r>
        <w:rPr>
          <w:bCs/>
        </w:rPr>
        <w:t>Amidst such a m</w:t>
      </w:r>
      <w:r w:rsidR="00CD19A9">
        <w:rPr>
          <w:bCs/>
        </w:rPr>
        <w:t>ilieu</w:t>
      </w:r>
      <w:r w:rsidR="00761DD9">
        <w:rPr>
          <w:bCs/>
        </w:rPr>
        <w:t xml:space="preserve"> that is competitive and complex</w:t>
      </w:r>
      <w:r w:rsidR="00CD19A9">
        <w:rPr>
          <w:bCs/>
        </w:rPr>
        <w:t xml:space="preserve">, the non-profit sector must </w:t>
      </w:r>
      <w:r w:rsidR="00761DD9">
        <w:rPr>
          <w:bCs/>
        </w:rPr>
        <w:t xml:space="preserve">be willing to </w:t>
      </w:r>
      <w:r w:rsidR="00CD19A9">
        <w:rPr>
          <w:bCs/>
        </w:rPr>
        <w:t>adapt</w:t>
      </w:r>
      <w:r>
        <w:rPr>
          <w:bCs/>
        </w:rPr>
        <w:t xml:space="preserve"> </w:t>
      </w:r>
      <w:r w:rsidR="00761DD9">
        <w:rPr>
          <w:bCs/>
        </w:rPr>
        <w:t>with the</w:t>
      </w:r>
      <w:r>
        <w:rPr>
          <w:bCs/>
        </w:rPr>
        <w:t xml:space="preserve"> needs of the funders while retaining the essence of their programmes</w:t>
      </w:r>
      <w:r w:rsidR="006C26AC">
        <w:rPr>
          <w:bCs/>
        </w:rPr>
        <w:t xml:space="preserve"> and accountability to their core vision as well as stakeholders</w:t>
      </w:r>
      <w:r>
        <w:rPr>
          <w:bCs/>
        </w:rPr>
        <w:t xml:space="preserve">. </w:t>
      </w:r>
      <w:r w:rsidR="00CD19A9">
        <w:rPr>
          <w:bCs/>
        </w:rPr>
        <w:t>When</w:t>
      </w:r>
      <w:r>
        <w:rPr>
          <w:bCs/>
        </w:rPr>
        <w:t xml:space="preserve"> social impact </w:t>
      </w:r>
      <w:r w:rsidR="00CD19A9">
        <w:rPr>
          <w:bCs/>
        </w:rPr>
        <w:t>is retain</w:t>
      </w:r>
      <w:r w:rsidR="00747318">
        <w:rPr>
          <w:bCs/>
        </w:rPr>
        <w:t>e</w:t>
      </w:r>
      <w:r w:rsidR="00CD19A9">
        <w:rPr>
          <w:bCs/>
        </w:rPr>
        <w:t xml:space="preserve">d over a long course of time, attribution to an external entity becomes questionable. A community’s uptake of the programme or project is </w:t>
      </w:r>
      <w:r w:rsidR="006A4EA4">
        <w:rPr>
          <w:bCs/>
        </w:rPr>
        <w:t>a</w:t>
      </w:r>
      <w:r w:rsidR="00CD19A9">
        <w:rPr>
          <w:bCs/>
        </w:rPr>
        <w:t xml:space="preserve"> </w:t>
      </w:r>
      <w:r w:rsidR="00747318">
        <w:rPr>
          <w:bCs/>
        </w:rPr>
        <w:t xml:space="preserve">key causal </w:t>
      </w:r>
      <w:r w:rsidR="00777E14">
        <w:rPr>
          <w:bCs/>
        </w:rPr>
        <w:t>factor. Nevertheless social impact is a journey that needs to be tracked and documented throughout its course.</w:t>
      </w:r>
      <w:r w:rsidR="007A1DF5">
        <w:rPr>
          <w:bCs/>
        </w:rPr>
        <w:t xml:space="preserve"> It is critical that non-profits focus on</w:t>
      </w:r>
      <w:r w:rsidR="00352D79">
        <w:rPr>
          <w:bCs/>
        </w:rPr>
        <w:t xml:space="preserve"> good governance, financial due diligence,</w:t>
      </w:r>
      <w:r w:rsidR="007A1DF5">
        <w:rPr>
          <w:bCs/>
        </w:rPr>
        <w:t xml:space="preserve"> robust monitoring, evaluation, learning and documentation. While </w:t>
      </w:r>
      <w:r w:rsidR="00707EA2">
        <w:rPr>
          <w:bCs/>
        </w:rPr>
        <w:t>NPOs</w:t>
      </w:r>
      <w:r w:rsidR="007A1DF5">
        <w:rPr>
          <w:bCs/>
        </w:rPr>
        <w:t xml:space="preserve"> are acknowledging these due processes, it is a challenge for some to deliver on these premises. </w:t>
      </w:r>
    </w:p>
    <w:p w:rsidR="006A4EA4" w:rsidRDefault="006A4EA4" w:rsidP="003B6929">
      <w:pPr>
        <w:jc w:val="both"/>
        <w:rPr>
          <w:bCs/>
        </w:rPr>
      </w:pPr>
    </w:p>
    <w:p w:rsidR="00BD45A9" w:rsidRDefault="006A4EA4" w:rsidP="003B6929">
      <w:pPr>
        <w:jc w:val="both"/>
        <w:rPr>
          <w:bCs/>
        </w:rPr>
      </w:pPr>
      <w:r>
        <w:rPr>
          <w:bCs/>
        </w:rPr>
        <w:t xml:space="preserve">Enterprises must also contribute in establishing accountability. Purpose driven initiatives that focus on thematic concerns for </w:t>
      </w:r>
      <w:r w:rsidR="00583926">
        <w:rPr>
          <w:bCs/>
        </w:rPr>
        <w:t xml:space="preserve">creating </w:t>
      </w:r>
      <w:r>
        <w:rPr>
          <w:bCs/>
        </w:rPr>
        <w:t xml:space="preserve">long term </w:t>
      </w:r>
      <w:r w:rsidR="00E87917">
        <w:rPr>
          <w:bCs/>
        </w:rPr>
        <w:t>social impact are a need of the hour.</w:t>
      </w:r>
      <w:r w:rsidR="00C10657">
        <w:rPr>
          <w:bCs/>
        </w:rPr>
        <w:t xml:space="preserve"> Erratic fund flow is a challe</w:t>
      </w:r>
      <w:r w:rsidR="00583926">
        <w:rPr>
          <w:bCs/>
        </w:rPr>
        <w:t>nge for the non-profit sector. Largely d</w:t>
      </w:r>
      <w:r w:rsidR="00C10657">
        <w:rPr>
          <w:bCs/>
        </w:rPr>
        <w:t xml:space="preserve">ependent on aid for the running of their programmes, </w:t>
      </w:r>
      <w:r w:rsidR="00583926">
        <w:rPr>
          <w:bCs/>
        </w:rPr>
        <w:t>NPOs</w:t>
      </w:r>
      <w:r w:rsidR="00C10657">
        <w:rPr>
          <w:bCs/>
        </w:rPr>
        <w:t xml:space="preserve"> ought to have financial securi</w:t>
      </w:r>
      <w:r w:rsidR="00486CB0">
        <w:rPr>
          <w:bCs/>
        </w:rPr>
        <w:t>ty</w:t>
      </w:r>
      <w:r w:rsidR="00C10657">
        <w:rPr>
          <w:bCs/>
        </w:rPr>
        <w:t xml:space="preserve">. Corpus grants and financial commitment to causes are </w:t>
      </w:r>
      <w:r w:rsidR="00486CB0">
        <w:rPr>
          <w:bCs/>
        </w:rPr>
        <w:t>resolutions to ensure stability.</w:t>
      </w:r>
      <w:r w:rsidR="007A1DF5">
        <w:rPr>
          <w:bCs/>
        </w:rPr>
        <w:t xml:space="preserve"> </w:t>
      </w:r>
    </w:p>
    <w:p w:rsidR="00A25002" w:rsidRDefault="00A25002" w:rsidP="003B6929">
      <w:pPr>
        <w:jc w:val="both"/>
        <w:rPr>
          <w:bCs/>
        </w:rPr>
      </w:pPr>
    </w:p>
    <w:p w:rsidR="002907FA" w:rsidRDefault="00B7345A" w:rsidP="003B6929">
      <w:pPr>
        <w:jc w:val="both"/>
        <w:rPr>
          <w:bCs/>
        </w:rPr>
      </w:pPr>
      <w:r>
        <w:rPr>
          <w:bCs/>
        </w:rPr>
        <w:t xml:space="preserve">Packed with a schedule that </w:t>
      </w:r>
      <w:r w:rsidR="002907FA">
        <w:rPr>
          <w:bCs/>
        </w:rPr>
        <w:t>addresses</w:t>
      </w:r>
      <w:r w:rsidR="00A03A1B">
        <w:rPr>
          <w:bCs/>
        </w:rPr>
        <w:t xml:space="preserve"> </w:t>
      </w:r>
      <w:r w:rsidR="002907FA">
        <w:rPr>
          <w:bCs/>
        </w:rPr>
        <w:t xml:space="preserve">all the above </w:t>
      </w:r>
      <w:r>
        <w:rPr>
          <w:bCs/>
        </w:rPr>
        <w:t xml:space="preserve">mentioned subjects with a </w:t>
      </w:r>
      <w:r w:rsidR="00A03A1B">
        <w:rPr>
          <w:bCs/>
        </w:rPr>
        <w:t>holistic approach, the Conclaves approach</w:t>
      </w:r>
      <w:r w:rsidR="002907FA">
        <w:rPr>
          <w:bCs/>
        </w:rPr>
        <w:t xml:space="preserve"> every aspect in a systematic manner that benefits participants from across sectors</w:t>
      </w:r>
      <w:r w:rsidR="00A03A1B">
        <w:rPr>
          <w:bCs/>
        </w:rPr>
        <w:t>.</w:t>
      </w:r>
      <w:r w:rsidR="00AB51A3">
        <w:rPr>
          <w:bCs/>
        </w:rPr>
        <w:t xml:space="preserve"> The sessions comprise of masterclasses, workshops and presentations.</w:t>
      </w:r>
      <w:r w:rsidR="00A03A1B">
        <w:rPr>
          <w:bCs/>
        </w:rPr>
        <w:t xml:space="preserve"> The first day begins with a 101 session that </w:t>
      </w:r>
      <w:r w:rsidR="002907FA">
        <w:rPr>
          <w:bCs/>
        </w:rPr>
        <w:t>sets a</w:t>
      </w:r>
      <w:r w:rsidR="00A03A1B">
        <w:rPr>
          <w:bCs/>
        </w:rPr>
        <w:t xml:space="preserve"> </w:t>
      </w:r>
      <w:r w:rsidR="002907FA">
        <w:rPr>
          <w:bCs/>
        </w:rPr>
        <w:t>contextual</w:t>
      </w:r>
      <w:r w:rsidR="00A03A1B">
        <w:rPr>
          <w:bCs/>
        </w:rPr>
        <w:t xml:space="preserve"> framework </w:t>
      </w:r>
      <w:r w:rsidR="002907FA">
        <w:rPr>
          <w:bCs/>
        </w:rPr>
        <w:t xml:space="preserve">for the forthcoming days </w:t>
      </w:r>
      <w:r w:rsidR="00A03A1B">
        <w:rPr>
          <w:bCs/>
        </w:rPr>
        <w:t xml:space="preserve">and ends with a masterclass on </w:t>
      </w:r>
      <w:r w:rsidR="002907FA">
        <w:rPr>
          <w:bCs/>
        </w:rPr>
        <w:t xml:space="preserve">theory of change, and </w:t>
      </w:r>
      <w:r w:rsidR="00A03A1B">
        <w:rPr>
          <w:bCs/>
        </w:rPr>
        <w:t xml:space="preserve">the fundamentals </w:t>
      </w:r>
      <w:r w:rsidR="002907FA">
        <w:rPr>
          <w:bCs/>
        </w:rPr>
        <w:t xml:space="preserve">of </w:t>
      </w:r>
      <w:r w:rsidR="00AB51A3">
        <w:rPr>
          <w:bCs/>
        </w:rPr>
        <w:t>results based</w:t>
      </w:r>
      <w:r w:rsidR="002907FA">
        <w:rPr>
          <w:bCs/>
        </w:rPr>
        <w:t xml:space="preserve"> </w:t>
      </w:r>
      <w:r w:rsidR="00A03A1B">
        <w:rPr>
          <w:bCs/>
        </w:rPr>
        <w:t xml:space="preserve">management. </w:t>
      </w:r>
      <w:r w:rsidR="00AB3C95">
        <w:rPr>
          <w:bCs/>
        </w:rPr>
        <w:t xml:space="preserve">The subsequent day begins with the </w:t>
      </w:r>
      <w:r w:rsidR="00AB51A3">
        <w:rPr>
          <w:bCs/>
        </w:rPr>
        <w:t>masterclass</w:t>
      </w:r>
      <w:r w:rsidR="00A03A1B">
        <w:rPr>
          <w:bCs/>
        </w:rPr>
        <w:t xml:space="preserve"> on good governance and financial management. Post lunch, the </w:t>
      </w:r>
      <w:r w:rsidR="002907FA">
        <w:rPr>
          <w:bCs/>
        </w:rPr>
        <w:t xml:space="preserve">focus is streamlined towards mentoring of flagship project proposals for CSR funding. The third day begins with a learning session on CSR, designed especially for managers from private and public sector enterprises. The Conclaves end with presentations of high impact proposals by NPOs at the TISS AESDII Bazaar. </w:t>
      </w:r>
    </w:p>
    <w:p w:rsidR="005D62C7" w:rsidRDefault="002907FA" w:rsidP="003B6929">
      <w:pPr>
        <w:jc w:val="both"/>
        <w:rPr>
          <w:bCs/>
        </w:rPr>
      </w:pPr>
      <w:r>
        <w:rPr>
          <w:bCs/>
        </w:rPr>
        <w:t xml:space="preserve"> </w:t>
      </w:r>
      <w:r w:rsidR="005D62C7">
        <w:rPr>
          <w:bCs/>
        </w:rPr>
        <w:br/>
      </w:r>
      <w:r w:rsidR="0055286B">
        <w:rPr>
          <w:bCs/>
        </w:rPr>
        <w:t xml:space="preserve">A </w:t>
      </w:r>
      <w:r w:rsidR="00352D79">
        <w:rPr>
          <w:bCs/>
        </w:rPr>
        <w:t>detailed schedule is attached.</w:t>
      </w:r>
    </w:p>
    <w:p w:rsidR="00C42DF2" w:rsidRDefault="00C42DF2" w:rsidP="003B6929">
      <w:pPr>
        <w:jc w:val="both"/>
        <w:rPr>
          <w:bCs/>
        </w:rPr>
      </w:pPr>
    </w:p>
    <w:p w:rsidR="002907FA" w:rsidRDefault="00C42DF2" w:rsidP="00C42DF2">
      <w:pPr>
        <w:jc w:val="center"/>
        <w:rPr>
          <w:bCs/>
        </w:rPr>
      </w:pPr>
      <w:r>
        <w:rPr>
          <w:bCs/>
        </w:rPr>
        <w:t>***</w:t>
      </w:r>
    </w:p>
    <w:p w:rsidR="0055286B" w:rsidRDefault="0055286B" w:rsidP="003B6929">
      <w:pPr>
        <w:jc w:val="both"/>
        <w:rPr>
          <w:bCs/>
        </w:rPr>
      </w:pPr>
    </w:p>
    <w:p w:rsidR="0055286B" w:rsidRDefault="0055286B" w:rsidP="003B6929">
      <w:pPr>
        <w:jc w:val="both"/>
        <w:rPr>
          <w:bCs/>
        </w:rPr>
      </w:pPr>
    </w:p>
    <w:sectPr w:rsidR="0055286B" w:rsidSect="0055286B">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D3B" w:rsidRDefault="002D3D3B" w:rsidP="007F27F1">
      <w:r>
        <w:separator/>
      </w:r>
    </w:p>
  </w:endnote>
  <w:endnote w:type="continuationSeparator" w:id="0">
    <w:p w:rsidR="002D3D3B" w:rsidRDefault="002D3D3B" w:rsidP="007F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pyrus">
    <w:panose1 w:val="020B0602040200020303"/>
    <w:charset w:val="4D"/>
    <w:family w:val="swiss"/>
    <w:pitch w:val="variable"/>
    <w:sig w:usb0="A000007F" w:usb1="4000205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D3B" w:rsidRDefault="002D3D3B" w:rsidP="007F27F1">
      <w:r>
        <w:separator/>
      </w:r>
    </w:p>
  </w:footnote>
  <w:footnote w:type="continuationSeparator" w:id="0">
    <w:p w:rsidR="002D3D3B" w:rsidRDefault="002D3D3B" w:rsidP="007F2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5F"/>
    <w:rsid w:val="00006CEC"/>
    <w:rsid w:val="000120CC"/>
    <w:rsid w:val="00013FE2"/>
    <w:rsid w:val="00023FE4"/>
    <w:rsid w:val="000D4B63"/>
    <w:rsid w:val="00101C2C"/>
    <w:rsid w:val="001324B3"/>
    <w:rsid w:val="001A6E72"/>
    <w:rsid w:val="001B450F"/>
    <w:rsid w:val="001C4DA4"/>
    <w:rsid w:val="001E7126"/>
    <w:rsid w:val="00206FDC"/>
    <w:rsid w:val="002907FA"/>
    <w:rsid w:val="00293CBE"/>
    <w:rsid w:val="002C467F"/>
    <w:rsid w:val="002D3D3B"/>
    <w:rsid w:val="002F6A90"/>
    <w:rsid w:val="0034257F"/>
    <w:rsid w:val="00352D79"/>
    <w:rsid w:val="00377E67"/>
    <w:rsid w:val="003841C5"/>
    <w:rsid w:val="003B6929"/>
    <w:rsid w:val="003D1028"/>
    <w:rsid w:val="003D4FC8"/>
    <w:rsid w:val="003E4CBE"/>
    <w:rsid w:val="0044127C"/>
    <w:rsid w:val="0045691A"/>
    <w:rsid w:val="00486CB0"/>
    <w:rsid w:val="004F3356"/>
    <w:rsid w:val="00501AED"/>
    <w:rsid w:val="0055286B"/>
    <w:rsid w:val="00570616"/>
    <w:rsid w:val="0057698C"/>
    <w:rsid w:val="00583926"/>
    <w:rsid w:val="005D62C7"/>
    <w:rsid w:val="005D675F"/>
    <w:rsid w:val="006216CE"/>
    <w:rsid w:val="006516CB"/>
    <w:rsid w:val="006A4EA4"/>
    <w:rsid w:val="006C26AC"/>
    <w:rsid w:val="006E1910"/>
    <w:rsid w:val="00707EA2"/>
    <w:rsid w:val="00747318"/>
    <w:rsid w:val="007607C5"/>
    <w:rsid w:val="00761DD9"/>
    <w:rsid w:val="00777E14"/>
    <w:rsid w:val="0078289F"/>
    <w:rsid w:val="007A1DF5"/>
    <w:rsid w:val="007F27F1"/>
    <w:rsid w:val="00812658"/>
    <w:rsid w:val="00826483"/>
    <w:rsid w:val="00955955"/>
    <w:rsid w:val="00976FBD"/>
    <w:rsid w:val="00A03A1B"/>
    <w:rsid w:val="00A03E8D"/>
    <w:rsid w:val="00A1348E"/>
    <w:rsid w:val="00A25002"/>
    <w:rsid w:val="00AB1249"/>
    <w:rsid w:val="00AB1630"/>
    <w:rsid w:val="00AB3C95"/>
    <w:rsid w:val="00AB51A3"/>
    <w:rsid w:val="00AD39DF"/>
    <w:rsid w:val="00AF15C6"/>
    <w:rsid w:val="00B3239C"/>
    <w:rsid w:val="00B7345A"/>
    <w:rsid w:val="00B96F7E"/>
    <w:rsid w:val="00BD45A9"/>
    <w:rsid w:val="00BE5C89"/>
    <w:rsid w:val="00C02439"/>
    <w:rsid w:val="00C10657"/>
    <w:rsid w:val="00C42DF2"/>
    <w:rsid w:val="00C82EF3"/>
    <w:rsid w:val="00C96B00"/>
    <w:rsid w:val="00CA7044"/>
    <w:rsid w:val="00CC3C9C"/>
    <w:rsid w:val="00CD19A9"/>
    <w:rsid w:val="00CF18F3"/>
    <w:rsid w:val="00D03854"/>
    <w:rsid w:val="00D30872"/>
    <w:rsid w:val="00D34201"/>
    <w:rsid w:val="00D743BE"/>
    <w:rsid w:val="00D82881"/>
    <w:rsid w:val="00D901D6"/>
    <w:rsid w:val="00D91F14"/>
    <w:rsid w:val="00D9267C"/>
    <w:rsid w:val="00DA5A0F"/>
    <w:rsid w:val="00E436EB"/>
    <w:rsid w:val="00E51D3C"/>
    <w:rsid w:val="00E65B8C"/>
    <w:rsid w:val="00E87917"/>
    <w:rsid w:val="00EE25A4"/>
    <w:rsid w:val="00EE4A21"/>
    <w:rsid w:val="00F321E5"/>
    <w:rsid w:val="00F72B8F"/>
    <w:rsid w:val="00FF56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D605"/>
  <w15:chartTrackingRefBased/>
  <w15:docId w15:val="{379BEE12-C9B1-BA4F-BB06-765200AD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24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24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7F1"/>
    <w:pPr>
      <w:tabs>
        <w:tab w:val="center" w:pos="4513"/>
        <w:tab w:val="right" w:pos="9026"/>
      </w:tabs>
    </w:pPr>
  </w:style>
  <w:style w:type="character" w:customStyle="1" w:styleId="HeaderChar">
    <w:name w:val="Header Char"/>
    <w:basedOn w:val="DefaultParagraphFont"/>
    <w:link w:val="Header"/>
    <w:uiPriority w:val="99"/>
    <w:rsid w:val="007F27F1"/>
  </w:style>
  <w:style w:type="paragraph" w:styleId="Footer">
    <w:name w:val="footer"/>
    <w:basedOn w:val="Normal"/>
    <w:link w:val="FooterChar"/>
    <w:uiPriority w:val="99"/>
    <w:unhideWhenUsed/>
    <w:rsid w:val="007F27F1"/>
    <w:pPr>
      <w:tabs>
        <w:tab w:val="center" w:pos="4513"/>
        <w:tab w:val="right" w:pos="9026"/>
      </w:tabs>
    </w:pPr>
  </w:style>
  <w:style w:type="character" w:customStyle="1" w:styleId="FooterChar">
    <w:name w:val="Footer Char"/>
    <w:basedOn w:val="DefaultParagraphFont"/>
    <w:link w:val="Footer"/>
    <w:uiPriority w:val="99"/>
    <w:rsid w:val="007F27F1"/>
  </w:style>
  <w:style w:type="paragraph" w:styleId="FootnoteText">
    <w:name w:val="footnote text"/>
    <w:basedOn w:val="Normal"/>
    <w:link w:val="FootnoteTextChar"/>
    <w:uiPriority w:val="99"/>
    <w:semiHidden/>
    <w:unhideWhenUsed/>
    <w:rsid w:val="00013FE2"/>
    <w:rPr>
      <w:sz w:val="20"/>
      <w:szCs w:val="20"/>
    </w:rPr>
  </w:style>
  <w:style w:type="character" w:customStyle="1" w:styleId="FootnoteTextChar">
    <w:name w:val="Footnote Text Char"/>
    <w:basedOn w:val="DefaultParagraphFont"/>
    <w:link w:val="FootnoteText"/>
    <w:uiPriority w:val="99"/>
    <w:semiHidden/>
    <w:rsid w:val="00013FE2"/>
    <w:rPr>
      <w:sz w:val="20"/>
      <w:szCs w:val="20"/>
    </w:rPr>
  </w:style>
  <w:style w:type="character" w:styleId="FootnoteReference">
    <w:name w:val="footnote reference"/>
    <w:basedOn w:val="DefaultParagraphFont"/>
    <w:uiPriority w:val="99"/>
    <w:semiHidden/>
    <w:unhideWhenUsed/>
    <w:rsid w:val="00013FE2"/>
    <w:rPr>
      <w:vertAlign w:val="superscript"/>
    </w:rPr>
  </w:style>
  <w:style w:type="character" w:styleId="Hyperlink">
    <w:name w:val="Hyperlink"/>
    <w:basedOn w:val="DefaultParagraphFont"/>
    <w:uiPriority w:val="99"/>
    <w:unhideWhenUsed/>
    <w:rsid w:val="00013FE2"/>
    <w:rPr>
      <w:color w:val="0563C1" w:themeColor="hyperlink"/>
      <w:u w:val="single"/>
    </w:rPr>
  </w:style>
  <w:style w:type="character" w:styleId="UnresolvedMention">
    <w:name w:val="Unresolved Mention"/>
    <w:basedOn w:val="DefaultParagraphFont"/>
    <w:uiPriority w:val="99"/>
    <w:semiHidden/>
    <w:unhideWhenUsed/>
    <w:rsid w:val="00013FE2"/>
    <w:rPr>
      <w:color w:val="808080"/>
      <w:shd w:val="clear" w:color="auto" w:fill="E6E6E6"/>
    </w:rPr>
  </w:style>
  <w:style w:type="character" w:customStyle="1" w:styleId="Heading1Char">
    <w:name w:val="Heading 1 Char"/>
    <w:basedOn w:val="DefaultParagraphFont"/>
    <w:link w:val="Heading1"/>
    <w:uiPriority w:val="9"/>
    <w:rsid w:val="00C024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02439"/>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570616"/>
    <w:rPr>
      <w:i/>
      <w:iCs/>
      <w:color w:val="404040" w:themeColor="text1" w:themeTint="BF"/>
    </w:rPr>
  </w:style>
  <w:style w:type="character" w:styleId="Emphasis">
    <w:name w:val="Emphasis"/>
    <w:basedOn w:val="DefaultParagraphFont"/>
    <w:uiPriority w:val="20"/>
    <w:qFormat/>
    <w:rsid w:val="00570616"/>
    <w:rPr>
      <w:i/>
      <w:iCs/>
    </w:rPr>
  </w:style>
  <w:style w:type="paragraph" w:styleId="IntenseQuote">
    <w:name w:val="Intense Quote"/>
    <w:basedOn w:val="Normal"/>
    <w:next w:val="Normal"/>
    <w:link w:val="IntenseQuoteChar"/>
    <w:uiPriority w:val="30"/>
    <w:qFormat/>
    <w:rsid w:val="0057061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7061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562902">
      <w:bodyDiv w:val="1"/>
      <w:marLeft w:val="0"/>
      <w:marRight w:val="0"/>
      <w:marTop w:val="0"/>
      <w:marBottom w:val="0"/>
      <w:divBdr>
        <w:top w:val="none" w:sz="0" w:space="0" w:color="auto"/>
        <w:left w:val="none" w:sz="0" w:space="0" w:color="auto"/>
        <w:bottom w:val="none" w:sz="0" w:space="0" w:color="auto"/>
        <w:right w:val="none" w:sz="0" w:space="0" w:color="auto"/>
      </w:divBdr>
    </w:div>
    <w:div w:id="2011835053">
      <w:bodyDiv w:val="1"/>
      <w:marLeft w:val="0"/>
      <w:marRight w:val="0"/>
      <w:marTop w:val="0"/>
      <w:marBottom w:val="0"/>
      <w:divBdr>
        <w:top w:val="none" w:sz="0" w:space="0" w:color="auto"/>
        <w:left w:val="none" w:sz="0" w:space="0" w:color="auto"/>
        <w:bottom w:val="none" w:sz="0" w:space="0" w:color="auto"/>
        <w:right w:val="none" w:sz="0" w:space="0" w:color="auto"/>
      </w:divBdr>
      <w:divsChild>
        <w:div w:id="131499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8FD1DA-2243-C34E-B1E4-B45CCAF63EFE}" type="doc">
      <dgm:prSet loTypeId="urn:microsoft.com/office/officeart/2009/layout/ReverseList" loCatId="" qsTypeId="urn:microsoft.com/office/officeart/2005/8/quickstyle/simple1" qsCatId="simple" csTypeId="urn:microsoft.com/office/officeart/2005/8/colors/colorful5" csCatId="colorful" phldr="1"/>
      <dgm:spPr/>
      <dgm:t>
        <a:bodyPr/>
        <a:lstStyle/>
        <a:p>
          <a:endParaRPr lang="en-US"/>
        </a:p>
      </dgm:t>
    </dgm:pt>
    <dgm:pt modelId="{B795198B-69E8-A24C-95EC-7E5DB604E795}">
      <dgm:prSet phldrT="[Text]" custT="1"/>
      <dgm:spPr/>
      <dgm:t>
        <a:bodyPr/>
        <a:lstStyle/>
        <a:p>
          <a:r>
            <a:rPr lang="en-US" sz="1100" b="1"/>
            <a:t>Are you part of a public/ private sector enterprise?</a:t>
          </a:r>
        </a:p>
      </dgm:t>
    </dgm:pt>
    <dgm:pt modelId="{BA0B30BF-CF45-0140-878A-3EF558A2ADD4}" type="parTrans" cxnId="{B589FFBB-A9F0-BC4A-A75F-8AD08413CD30}">
      <dgm:prSet/>
      <dgm:spPr/>
      <dgm:t>
        <a:bodyPr/>
        <a:lstStyle/>
        <a:p>
          <a:endParaRPr lang="en-US"/>
        </a:p>
      </dgm:t>
    </dgm:pt>
    <dgm:pt modelId="{B105D27B-F93A-1041-BC36-0DDC528FF62B}" type="sibTrans" cxnId="{B589FFBB-A9F0-BC4A-A75F-8AD08413CD30}">
      <dgm:prSet/>
      <dgm:spPr/>
      <dgm:t>
        <a:bodyPr/>
        <a:lstStyle/>
        <a:p>
          <a:endParaRPr lang="en-US"/>
        </a:p>
      </dgm:t>
    </dgm:pt>
    <dgm:pt modelId="{5B874762-76B2-7040-BCB0-9D9AADE2FDD9}">
      <dgm:prSet phldrT="[Text]" custT="1"/>
      <dgm:spPr/>
      <dgm:t>
        <a:bodyPr/>
        <a:lstStyle/>
        <a:p>
          <a:r>
            <a:rPr lang="en-US" sz="1100"/>
            <a:t>Access to High Impact Proposals at the TISS AESDII Bazaar, sorted according to thematic and geographical thrust areas </a:t>
          </a:r>
        </a:p>
      </dgm:t>
    </dgm:pt>
    <dgm:pt modelId="{FF69CBB3-0C68-994A-95E6-232175D47138}" type="parTrans" cxnId="{DDA0EC76-DCC6-964E-B217-6C5F900C4B75}">
      <dgm:prSet/>
      <dgm:spPr/>
      <dgm:t>
        <a:bodyPr/>
        <a:lstStyle/>
        <a:p>
          <a:endParaRPr lang="en-US"/>
        </a:p>
      </dgm:t>
    </dgm:pt>
    <dgm:pt modelId="{A6C781F9-D480-294A-A0D5-A5511F5F305A}" type="sibTrans" cxnId="{DDA0EC76-DCC6-964E-B217-6C5F900C4B75}">
      <dgm:prSet/>
      <dgm:spPr/>
      <dgm:t>
        <a:bodyPr/>
        <a:lstStyle/>
        <a:p>
          <a:endParaRPr lang="en-US"/>
        </a:p>
      </dgm:t>
    </dgm:pt>
    <dgm:pt modelId="{9587D2DC-A959-1E48-8F95-48EB5CCDDABC}">
      <dgm:prSet phldrT="[Text]" custT="1"/>
      <dgm:spPr/>
      <dgm:t>
        <a:bodyPr/>
        <a:lstStyle/>
        <a:p>
          <a:r>
            <a:rPr lang="en-US" sz="1100"/>
            <a:t>Training and capacity building on the CSR law in India</a:t>
          </a:r>
        </a:p>
      </dgm:t>
    </dgm:pt>
    <dgm:pt modelId="{7AA77173-D2DC-0448-8793-18073D6C47E6}" type="parTrans" cxnId="{71DA816B-407F-874A-B9CB-99338317BABF}">
      <dgm:prSet/>
      <dgm:spPr/>
      <dgm:t>
        <a:bodyPr/>
        <a:lstStyle/>
        <a:p>
          <a:endParaRPr lang="en-US"/>
        </a:p>
      </dgm:t>
    </dgm:pt>
    <dgm:pt modelId="{40C32407-FB7A-CE41-B431-541C37CE8B76}" type="sibTrans" cxnId="{71DA816B-407F-874A-B9CB-99338317BABF}">
      <dgm:prSet/>
      <dgm:spPr/>
      <dgm:t>
        <a:bodyPr/>
        <a:lstStyle/>
        <a:p>
          <a:endParaRPr lang="en-US"/>
        </a:p>
      </dgm:t>
    </dgm:pt>
    <dgm:pt modelId="{383B098B-BCFF-074C-B156-7BBCDF570C90}">
      <dgm:prSet phldrT="[Text]" custT="1"/>
      <dgm:spPr/>
      <dgm:t>
        <a:bodyPr/>
        <a:lstStyle/>
        <a:p>
          <a:r>
            <a:rPr lang="en-US" sz="1100"/>
            <a:t>Knowledge on global best practices </a:t>
          </a:r>
          <a:endParaRPr lang="en-US" sz="700" b="1"/>
        </a:p>
      </dgm:t>
    </dgm:pt>
    <dgm:pt modelId="{F621F685-2CAD-7A49-A806-45C5A1015178}" type="parTrans" cxnId="{B4E9607D-9344-5245-8658-A1C42901F219}">
      <dgm:prSet/>
      <dgm:spPr/>
      <dgm:t>
        <a:bodyPr/>
        <a:lstStyle/>
        <a:p>
          <a:endParaRPr lang="en-US"/>
        </a:p>
      </dgm:t>
    </dgm:pt>
    <dgm:pt modelId="{FED0262B-0F23-214B-9F13-287117E1EFA9}" type="sibTrans" cxnId="{B4E9607D-9344-5245-8658-A1C42901F219}">
      <dgm:prSet/>
      <dgm:spPr/>
      <dgm:t>
        <a:bodyPr/>
        <a:lstStyle/>
        <a:p>
          <a:endParaRPr lang="en-US"/>
        </a:p>
      </dgm:t>
    </dgm:pt>
    <dgm:pt modelId="{1711CEC2-5085-4B4B-BCDB-F561B869079D}">
      <dgm:prSet phldrT="[Text]" custT="1"/>
      <dgm:spPr/>
      <dgm:t>
        <a:bodyPr/>
        <a:lstStyle/>
        <a:p>
          <a:r>
            <a:rPr lang="en-US" sz="1100"/>
            <a:t>Opportunity to interact with CSR funders at the TISS AESDII Bazaar</a:t>
          </a:r>
        </a:p>
      </dgm:t>
    </dgm:pt>
    <dgm:pt modelId="{276E63E4-7999-9343-BBE8-7E24B2DFAEFF}" type="sibTrans" cxnId="{B038B2AE-5FD1-CE4B-A1D9-ACB96B1CAC1E}">
      <dgm:prSet/>
      <dgm:spPr/>
      <dgm:t>
        <a:bodyPr/>
        <a:lstStyle/>
        <a:p>
          <a:endParaRPr lang="en-US"/>
        </a:p>
      </dgm:t>
    </dgm:pt>
    <dgm:pt modelId="{6DD392FA-0955-0845-A349-6BC259DF0FB8}" type="parTrans" cxnId="{B038B2AE-5FD1-CE4B-A1D9-ACB96B1CAC1E}">
      <dgm:prSet/>
      <dgm:spPr/>
      <dgm:t>
        <a:bodyPr/>
        <a:lstStyle/>
        <a:p>
          <a:endParaRPr lang="en-US"/>
        </a:p>
      </dgm:t>
    </dgm:pt>
    <dgm:pt modelId="{48F8631C-AEE7-2846-AD85-A312CEB94298}">
      <dgm:prSet phldrT="[Text]" custT="1"/>
      <dgm:spPr/>
      <dgm:t>
        <a:bodyPr/>
        <a:lstStyle/>
        <a:p>
          <a:r>
            <a:rPr lang="en-US" sz="1100"/>
            <a:t>Mentoring of flagship project proposals by TISS experts</a:t>
          </a:r>
        </a:p>
      </dgm:t>
    </dgm:pt>
    <dgm:pt modelId="{6C52007A-9367-524F-920B-0BE8772F0FD8}" type="sibTrans" cxnId="{FD0A4591-BAAA-2447-B356-F1129A60998F}">
      <dgm:prSet/>
      <dgm:spPr/>
      <dgm:t>
        <a:bodyPr/>
        <a:lstStyle/>
        <a:p>
          <a:endParaRPr lang="en-US"/>
        </a:p>
      </dgm:t>
    </dgm:pt>
    <dgm:pt modelId="{7058F04E-8A94-494F-963E-A3F8A702A823}" type="parTrans" cxnId="{FD0A4591-BAAA-2447-B356-F1129A60998F}">
      <dgm:prSet/>
      <dgm:spPr/>
      <dgm:t>
        <a:bodyPr/>
        <a:lstStyle/>
        <a:p>
          <a:endParaRPr lang="en-US"/>
        </a:p>
      </dgm:t>
    </dgm:pt>
    <dgm:pt modelId="{9862684C-023A-404C-B27E-D0377E8F0673}">
      <dgm:prSet phldrT="[Text]" custT="1"/>
      <dgm:spPr/>
      <dgm:t>
        <a:bodyPr/>
        <a:lstStyle/>
        <a:p>
          <a:r>
            <a:rPr lang="en-US" sz="1100"/>
            <a:t>Capacity building and training on monitoring, evaluation and financial due dilligence</a:t>
          </a:r>
          <a:endParaRPr lang="en-US" sz="600"/>
        </a:p>
        <a:p>
          <a:endParaRPr lang="en-US" sz="1100"/>
        </a:p>
      </dgm:t>
    </dgm:pt>
    <dgm:pt modelId="{57C2C311-C799-1944-A6CB-B2481CC1090F}" type="sibTrans" cxnId="{7302C287-35E6-EB4B-86AE-AA1C89F71161}">
      <dgm:prSet/>
      <dgm:spPr/>
      <dgm:t>
        <a:bodyPr/>
        <a:lstStyle/>
        <a:p>
          <a:endParaRPr lang="en-US"/>
        </a:p>
      </dgm:t>
    </dgm:pt>
    <dgm:pt modelId="{60F93C3C-0EDE-EC4B-AF04-5282269A26AA}" type="parTrans" cxnId="{7302C287-35E6-EB4B-86AE-AA1C89F71161}">
      <dgm:prSet/>
      <dgm:spPr/>
      <dgm:t>
        <a:bodyPr/>
        <a:lstStyle/>
        <a:p>
          <a:endParaRPr lang="en-US"/>
        </a:p>
      </dgm:t>
    </dgm:pt>
    <dgm:pt modelId="{DE274F53-3051-294C-8C32-F585F7E82795}">
      <dgm:prSet phldrT="[Text]" custT="1"/>
      <dgm:spPr/>
      <dgm:t>
        <a:bodyPr/>
        <a:lstStyle/>
        <a:p>
          <a:r>
            <a:rPr lang="en-US" sz="1100" b="1"/>
            <a:t>Are you part of a Non Profit Organisation?</a:t>
          </a:r>
          <a:endParaRPr lang="en-US" sz="1100"/>
        </a:p>
      </dgm:t>
    </dgm:pt>
    <dgm:pt modelId="{4344795D-F011-0D44-BB3E-5A21D3D19357}" type="parTrans" cxnId="{F25BA4B2-F626-314A-BE3A-79C9BE0089FA}">
      <dgm:prSet/>
      <dgm:spPr/>
      <dgm:t>
        <a:bodyPr/>
        <a:lstStyle/>
        <a:p>
          <a:endParaRPr lang="en-US"/>
        </a:p>
      </dgm:t>
    </dgm:pt>
    <dgm:pt modelId="{6E776384-5663-A941-8850-2FF64AFD02D7}" type="sibTrans" cxnId="{F25BA4B2-F626-314A-BE3A-79C9BE0089FA}">
      <dgm:prSet/>
      <dgm:spPr/>
      <dgm:t>
        <a:bodyPr/>
        <a:lstStyle/>
        <a:p>
          <a:endParaRPr lang="en-US"/>
        </a:p>
      </dgm:t>
    </dgm:pt>
    <dgm:pt modelId="{2DED7456-122D-C24B-A3F1-786CBF015B15}" type="pres">
      <dgm:prSet presAssocID="{348FD1DA-2243-C34E-B1E4-B45CCAF63EFE}" presName="Name0" presStyleCnt="0">
        <dgm:presLayoutVars>
          <dgm:chMax val="2"/>
          <dgm:chPref val="2"/>
          <dgm:animLvl val="lvl"/>
        </dgm:presLayoutVars>
      </dgm:prSet>
      <dgm:spPr/>
    </dgm:pt>
    <dgm:pt modelId="{1873558F-FF63-CD44-A500-0CEB38072DEC}" type="pres">
      <dgm:prSet presAssocID="{348FD1DA-2243-C34E-B1E4-B45CCAF63EFE}" presName="LeftText" presStyleLbl="revTx" presStyleIdx="0" presStyleCnt="0">
        <dgm:presLayoutVars>
          <dgm:bulletEnabled val="1"/>
        </dgm:presLayoutVars>
      </dgm:prSet>
      <dgm:spPr/>
    </dgm:pt>
    <dgm:pt modelId="{4684092A-5ADD-F64D-9D00-2BF9A4ED135E}" type="pres">
      <dgm:prSet presAssocID="{348FD1DA-2243-C34E-B1E4-B45CCAF63EFE}" presName="LeftNode" presStyleLbl="bgImgPlace1" presStyleIdx="0" presStyleCnt="2" custScaleX="194171" custScaleY="155545" custLinFactNeighborX="-67508" custLinFactNeighborY="6327">
        <dgm:presLayoutVars>
          <dgm:chMax val="2"/>
          <dgm:chPref val="2"/>
        </dgm:presLayoutVars>
      </dgm:prSet>
      <dgm:spPr/>
    </dgm:pt>
    <dgm:pt modelId="{C080B3DF-E868-B642-AB82-0D85E64857B6}" type="pres">
      <dgm:prSet presAssocID="{348FD1DA-2243-C34E-B1E4-B45CCAF63EFE}" presName="RightText" presStyleLbl="revTx" presStyleIdx="0" presStyleCnt="0">
        <dgm:presLayoutVars>
          <dgm:bulletEnabled val="1"/>
        </dgm:presLayoutVars>
      </dgm:prSet>
      <dgm:spPr/>
    </dgm:pt>
    <dgm:pt modelId="{FAA82559-F561-7643-BBE7-4BC140B1E37E}" type="pres">
      <dgm:prSet presAssocID="{348FD1DA-2243-C34E-B1E4-B45CCAF63EFE}" presName="RightNode" presStyleLbl="bgImgPlace1" presStyleIdx="1" presStyleCnt="2" custScaleX="194218" custScaleY="155545" custLinFactNeighborX="48176" custLinFactNeighborY="14289">
        <dgm:presLayoutVars>
          <dgm:chMax val="0"/>
          <dgm:chPref val="0"/>
        </dgm:presLayoutVars>
      </dgm:prSet>
      <dgm:spPr/>
    </dgm:pt>
    <dgm:pt modelId="{34BDD321-F413-9242-A669-2E67FAFECB6A}" type="pres">
      <dgm:prSet presAssocID="{348FD1DA-2243-C34E-B1E4-B45CCAF63EFE}" presName="TopArrow" presStyleLbl="node1" presStyleIdx="0" presStyleCnt="2" custLinFactNeighborY="-38456"/>
      <dgm:spPr/>
    </dgm:pt>
    <dgm:pt modelId="{BD9B6AFF-D99F-1042-A8B7-FA8208443224}" type="pres">
      <dgm:prSet presAssocID="{348FD1DA-2243-C34E-B1E4-B45CCAF63EFE}" presName="BottomArrow" presStyleLbl="node1" presStyleIdx="1" presStyleCnt="2" custLinFactNeighborX="-4665" custLinFactNeighborY="31724"/>
      <dgm:spPr/>
    </dgm:pt>
  </dgm:ptLst>
  <dgm:cxnLst>
    <dgm:cxn modelId="{D9839212-F36F-7A4D-BE4F-EEC3AE368AE5}" type="presOf" srcId="{9587D2DC-A959-1E48-8F95-48EB5CCDDABC}" destId="{1873558F-FF63-CD44-A500-0CEB38072DEC}" srcOrd="0" destOrd="2" presId="urn:microsoft.com/office/officeart/2009/layout/ReverseList"/>
    <dgm:cxn modelId="{BF1D3918-702B-764B-9FE6-205CA7792DE7}" type="presOf" srcId="{48F8631C-AEE7-2846-AD85-A312CEB94298}" destId="{C080B3DF-E868-B642-AB82-0D85E64857B6}" srcOrd="0" destOrd="2" presId="urn:microsoft.com/office/officeart/2009/layout/ReverseList"/>
    <dgm:cxn modelId="{E0F28521-6866-7F48-9EB1-9ADFAB1B7455}" type="presOf" srcId="{383B098B-BCFF-074C-B156-7BBCDF570C90}" destId="{1873558F-FF63-CD44-A500-0CEB38072DEC}" srcOrd="0" destOrd="3" presId="urn:microsoft.com/office/officeart/2009/layout/ReverseList"/>
    <dgm:cxn modelId="{85746724-C322-E147-A6F5-5C32D7739379}" type="presOf" srcId="{9862684C-023A-404C-B27E-D0377E8F0673}" destId="{C080B3DF-E868-B642-AB82-0D85E64857B6}" srcOrd="0" destOrd="3" presId="urn:microsoft.com/office/officeart/2009/layout/ReverseList"/>
    <dgm:cxn modelId="{4171D22E-C4F9-7847-831A-AE4CAEED3BA2}" type="presOf" srcId="{5B874762-76B2-7040-BCB0-9D9AADE2FDD9}" destId="{4684092A-5ADD-F64D-9D00-2BF9A4ED135E}" srcOrd="1" destOrd="1" presId="urn:microsoft.com/office/officeart/2009/layout/ReverseList"/>
    <dgm:cxn modelId="{E4E68946-3107-9849-B9FC-F440CD72ED6A}" type="presOf" srcId="{5B874762-76B2-7040-BCB0-9D9AADE2FDD9}" destId="{1873558F-FF63-CD44-A500-0CEB38072DEC}" srcOrd="0" destOrd="1" presId="urn:microsoft.com/office/officeart/2009/layout/ReverseList"/>
    <dgm:cxn modelId="{36FE1657-9829-EA4C-AB69-0CE2553E1E76}" type="presOf" srcId="{B795198B-69E8-A24C-95EC-7E5DB604E795}" destId="{1873558F-FF63-CD44-A500-0CEB38072DEC}" srcOrd="0" destOrd="0" presId="urn:microsoft.com/office/officeart/2009/layout/ReverseList"/>
    <dgm:cxn modelId="{68BF985D-752A-EB47-8B00-8003D9644DD1}" type="presOf" srcId="{9587D2DC-A959-1E48-8F95-48EB5CCDDABC}" destId="{4684092A-5ADD-F64D-9D00-2BF9A4ED135E}" srcOrd="1" destOrd="2" presId="urn:microsoft.com/office/officeart/2009/layout/ReverseList"/>
    <dgm:cxn modelId="{80D4BB5E-7AD9-FE4C-A26B-32F73352AE10}" type="presOf" srcId="{48F8631C-AEE7-2846-AD85-A312CEB94298}" destId="{FAA82559-F561-7643-BBE7-4BC140B1E37E}" srcOrd="1" destOrd="2" presId="urn:microsoft.com/office/officeart/2009/layout/ReverseList"/>
    <dgm:cxn modelId="{3766ED6A-D2AF-464D-A8EB-CC7EE32D585D}" type="presOf" srcId="{1711CEC2-5085-4B4B-BCDB-F561B869079D}" destId="{C080B3DF-E868-B642-AB82-0D85E64857B6}" srcOrd="0" destOrd="1" presId="urn:microsoft.com/office/officeart/2009/layout/ReverseList"/>
    <dgm:cxn modelId="{71DA816B-407F-874A-B9CB-99338317BABF}" srcId="{B795198B-69E8-A24C-95EC-7E5DB604E795}" destId="{9587D2DC-A959-1E48-8F95-48EB5CCDDABC}" srcOrd="1" destOrd="0" parTransId="{7AA77173-D2DC-0448-8793-18073D6C47E6}" sibTransId="{40C32407-FB7A-CE41-B431-541C37CE8B76}"/>
    <dgm:cxn modelId="{DDA0EC76-DCC6-964E-B217-6C5F900C4B75}" srcId="{B795198B-69E8-A24C-95EC-7E5DB604E795}" destId="{5B874762-76B2-7040-BCB0-9D9AADE2FDD9}" srcOrd="0" destOrd="0" parTransId="{FF69CBB3-0C68-994A-95E6-232175D47138}" sibTransId="{A6C781F9-D480-294A-A0D5-A5511F5F305A}"/>
    <dgm:cxn modelId="{B4E9607D-9344-5245-8658-A1C42901F219}" srcId="{B795198B-69E8-A24C-95EC-7E5DB604E795}" destId="{383B098B-BCFF-074C-B156-7BBCDF570C90}" srcOrd="2" destOrd="0" parTransId="{F621F685-2CAD-7A49-A806-45C5A1015178}" sibTransId="{FED0262B-0F23-214B-9F13-287117E1EFA9}"/>
    <dgm:cxn modelId="{F655BC83-44A3-414B-A971-3F60F901C97A}" type="presOf" srcId="{B795198B-69E8-A24C-95EC-7E5DB604E795}" destId="{4684092A-5ADD-F64D-9D00-2BF9A4ED135E}" srcOrd="1" destOrd="0" presId="urn:microsoft.com/office/officeart/2009/layout/ReverseList"/>
    <dgm:cxn modelId="{7302C287-35E6-EB4B-86AE-AA1C89F71161}" srcId="{DE274F53-3051-294C-8C32-F585F7E82795}" destId="{9862684C-023A-404C-B27E-D0377E8F0673}" srcOrd="2" destOrd="0" parTransId="{60F93C3C-0EDE-EC4B-AF04-5282269A26AA}" sibTransId="{57C2C311-C799-1944-A6CB-B2481CC1090F}"/>
    <dgm:cxn modelId="{FD0A4591-BAAA-2447-B356-F1129A60998F}" srcId="{DE274F53-3051-294C-8C32-F585F7E82795}" destId="{48F8631C-AEE7-2846-AD85-A312CEB94298}" srcOrd="1" destOrd="0" parTransId="{7058F04E-8A94-494F-963E-A3F8A702A823}" sibTransId="{6C52007A-9367-524F-920B-0BE8772F0FD8}"/>
    <dgm:cxn modelId="{B038B2AE-5FD1-CE4B-A1D9-ACB96B1CAC1E}" srcId="{DE274F53-3051-294C-8C32-F585F7E82795}" destId="{1711CEC2-5085-4B4B-BCDB-F561B869079D}" srcOrd="0" destOrd="0" parTransId="{6DD392FA-0955-0845-A349-6BC259DF0FB8}" sibTransId="{276E63E4-7999-9343-BBE8-7E24B2DFAEFF}"/>
    <dgm:cxn modelId="{F25BA4B2-F626-314A-BE3A-79C9BE0089FA}" srcId="{348FD1DA-2243-C34E-B1E4-B45CCAF63EFE}" destId="{DE274F53-3051-294C-8C32-F585F7E82795}" srcOrd="1" destOrd="0" parTransId="{4344795D-F011-0D44-BB3E-5A21D3D19357}" sibTransId="{6E776384-5663-A941-8850-2FF64AFD02D7}"/>
    <dgm:cxn modelId="{B589FFBB-A9F0-BC4A-A75F-8AD08413CD30}" srcId="{348FD1DA-2243-C34E-B1E4-B45CCAF63EFE}" destId="{B795198B-69E8-A24C-95EC-7E5DB604E795}" srcOrd="0" destOrd="0" parTransId="{BA0B30BF-CF45-0140-878A-3EF558A2ADD4}" sibTransId="{B105D27B-F93A-1041-BC36-0DDC528FF62B}"/>
    <dgm:cxn modelId="{7CFE53C1-74CF-B14C-9762-AB21FE8677CD}" type="presOf" srcId="{9862684C-023A-404C-B27E-D0377E8F0673}" destId="{FAA82559-F561-7643-BBE7-4BC140B1E37E}" srcOrd="1" destOrd="3" presId="urn:microsoft.com/office/officeart/2009/layout/ReverseList"/>
    <dgm:cxn modelId="{87E403C9-29E3-D240-843B-2E24536EBB9A}" type="presOf" srcId="{DE274F53-3051-294C-8C32-F585F7E82795}" destId="{FAA82559-F561-7643-BBE7-4BC140B1E37E}" srcOrd="1" destOrd="0" presId="urn:microsoft.com/office/officeart/2009/layout/ReverseList"/>
    <dgm:cxn modelId="{F7A148C9-F0CE-C74F-86D4-536202EB237E}" type="presOf" srcId="{348FD1DA-2243-C34E-B1E4-B45CCAF63EFE}" destId="{2DED7456-122D-C24B-A3F1-786CBF015B15}" srcOrd="0" destOrd="0" presId="urn:microsoft.com/office/officeart/2009/layout/ReverseList"/>
    <dgm:cxn modelId="{19B521CC-D049-F64F-89D9-9065CFEC6E39}" type="presOf" srcId="{383B098B-BCFF-074C-B156-7BBCDF570C90}" destId="{4684092A-5ADD-F64D-9D00-2BF9A4ED135E}" srcOrd="1" destOrd="3" presId="urn:microsoft.com/office/officeart/2009/layout/ReverseList"/>
    <dgm:cxn modelId="{B822AEE0-6CCA-364B-A195-40599495E090}" type="presOf" srcId="{1711CEC2-5085-4B4B-BCDB-F561B869079D}" destId="{FAA82559-F561-7643-BBE7-4BC140B1E37E}" srcOrd="1" destOrd="1" presId="urn:microsoft.com/office/officeart/2009/layout/ReverseList"/>
    <dgm:cxn modelId="{08F2CDF9-8329-3546-8BA0-1D1D8DCD4A08}" type="presOf" srcId="{DE274F53-3051-294C-8C32-F585F7E82795}" destId="{C080B3DF-E868-B642-AB82-0D85E64857B6}" srcOrd="0" destOrd="0" presId="urn:microsoft.com/office/officeart/2009/layout/ReverseList"/>
    <dgm:cxn modelId="{563DC416-5A37-AA4F-9833-BAC1C6FD1FC2}" type="presParOf" srcId="{2DED7456-122D-C24B-A3F1-786CBF015B15}" destId="{1873558F-FF63-CD44-A500-0CEB38072DEC}" srcOrd="0" destOrd="0" presId="urn:microsoft.com/office/officeart/2009/layout/ReverseList"/>
    <dgm:cxn modelId="{DFB0358D-FC60-B747-90CC-475131AF9830}" type="presParOf" srcId="{2DED7456-122D-C24B-A3F1-786CBF015B15}" destId="{4684092A-5ADD-F64D-9D00-2BF9A4ED135E}" srcOrd="1" destOrd="0" presId="urn:microsoft.com/office/officeart/2009/layout/ReverseList"/>
    <dgm:cxn modelId="{40E49A28-318B-CA4F-9F62-E5638B486C00}" type="presParOf" srcId="{2DED7456-122D-C24B-A3F1-786CBF015B15}" destId="{C080B3DF-E868-B642-AB82-0D85E64857B6}" srcOrd="2" destOrd="0" presId="urn:microsoft.com/office/officeart/2009/layout/ReverseList"/>
    <dgm:cxn modelId="{13D5D8FC-C0D9-DA4B-92B4-8201B94BA6DD}" type="presParOf" srcId="{2DED7456-122D-C24B-A3F1-786CBF015B15}" destId="{FAA82559-F561-7643-BBE7-4BC140B1E37E}" srcOrd="3" destOrd="0" presId="urn:microsoft.com/office/officeart/2009/layout/ReverseList"/>
    <dgm:cxn modelId="{E6406157-1EAD-2644-8BFF-CEF668EBFF12}" type="presParOf" srcId="{2DED7456-122D-C24B-A3F1-786CBF015B15}" destId="{34BDD321-F413-9242-A669-2E67FAFECB6A}" srcOrd="4" destOrd="0" presId="urn:microsoft.com/office/officeart/2009/layout/ReverseList"/>
    <dgm:cxn modelId="{0A5545A9-7BDD-CA46-96E1-D382C1A65551}" type="presParOf" srcId="{2DED7456-122D-C24B-A3F1-786CBF015B15}" destId="{BD9B6AFF-D99F-1042-A8B7-FA8208443224}" srcOrd="5" destOrd="0" presId="urn:microsoft.com/office/officeart/2009/layout/Revers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84092A-5ADD-F64D-9D00-2BF9A4ED135E}">
      <dsp:nvSpPr>
        <dsp:cNvPr id="0" name=""/>
        <dsp:cNvSpPr/>
      </dsp:nvSpPr>
      <dsp:spPr>
        <a:xfrm rot="16200000">
          <a:off x="-271050" y="271109"/>
          <a:ext cx="2285997" cy="1743895"/>
        </a:xfrm>
        <a:prstGeom prst="round2SameRect">
          <a:avLst>
            <a:gd name="adj1" fmla="val 16670"/>
            <a:gd name="adj2" fmla="val 0"/>
          </a:avLst>
        </a:prstGeom>
        <a:solidFill>
          <a:schemeClr val="accent5">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69850" rIns="62865" bIns="69850" numCol="1" spcCol="1270" anchor="t" anchorCtr="0">
          <a:noAutofit/>
        </a:bodyPr>
        <a:lstStyle/>
        <a:p>
          <a:pPr marL="0" lvl="0" indent="0" algn="l" defTabSz="488950">
            <a:lnSpc>
              <a:spcPct val="90000"/>
            </a:lnSpc>
            <a:spcBef>
              <a:spcPct val="0"/>
            </a:spcBef>
            <a:spcAft>
              <a:spcPct val="35000"/>
            </a:spcAft>
            <a:buNone/>
          </a:pPr>
          <a:r>
            <a:rPr lang="en-US" sz="1100" b="1" kern="1200"/>
            <a:t>Are you part of a public/ private sector enterprise?</a:t>
          </a:r>
        </a:p>
        <a:p>
          <a:pPr marL="57150" lvl="1" indent="-57150" algn="l" defTabSz="488950">
            <a:lnSpc>
              <a:spcPct val="90000"/>
            </a:lnSpc>
            <a:spcBef>
              <a:spcPct val="0"/>
            </a:spcBef>
            <a:spcAft>
              <a:spcPct val="15000"/>
            </a:spcAft>
            <a:buChar char="•"/>
          </a:pPr>
          <a:r>
            <a:rPr lang="en-US" sz="1100" kern="1200"/>
            <a:t>Access to High Impact Proposals at the TISS AESDII Bazaar, sorted according to thematic and geographical thrust areas </a:t>
          </a:r>
        </a:p>
        <a:p>
          <a:pPr marL="57150" lvl="1" indent="-57150" algn="l" defTabSz="488950">
            <a:lnSpc>
              <a:spcPct val="90000"/>
            </a:lnSpc>
            <a:spcBef>
              <a:spcPct val="0"/>
            </a:spcBef>
            <a:spcAft>
              <a:spcPct val="15000"/>
            </a:spcAft>
            <a:buChar char="•"/>
          </a:pPr>
          <a:r>
            <a:rPr lang="en-US" sz="1100" kern="1200"/>
            <a:t>Training and capacity building on the CSR law in India</a:t>
          </a:r>
        </a:p>
        <a:p>
          <a:pPr marL="57150" lvl="1" indent="-57150" algn="l" defTabSz="488950">
            <a:lnSpc>
              <a:spcPct val="90000"/>
            </a:lnSpc>
            <a:spcBef>
              <a:spcPct val="0"/>
            </a:spcBef>
            <a:spcAft>
              <a:spcPct val="15000"/>
            </a:spcAft>
            <a:buChar char="•"/>
          </a:pPr>
          <a:r>
            <a:rPr lang="en-US" sz="1100" kern="1200"/>
            <a:t>Knowledge on global best practices </a:t>
          </a:r>
          <a:endParaRPr lang="en-US" sz="700" b="1" kern="1200"/>
        </a:p>
      </dsp:txBody>
      <dsp:txXfrm rot="5400000">
        <a:off x="85145" y="85204"/>
        <a:ext cx="1658750" cy="2115707"/>
      </dsp:txXfrm>
    </dsp:sp>
    <dsp:sp modelId="{FAA82559-F561-7643-BBE7-4BC140B1E37E}">
      <dsp:nvSpPr>
        <dsp:cNvPr id="0" name=""/>
        <dsp:cNvSpPr/>
      </dsp:nvSpPr>
      <dsp:spPr>
        <a:xfrm rot="5400000">
          <a:off x="1533218" y="270898"/>
          <a:ext cx="2285997" cy="1744318"/>
        </a:xfrm>
        <a:prstGeom prst="round2SameRect">
          <a:avLst>
            <a:gd name="adj1" fmla="val 16670"/>
            <a:gd name="adj2" fmla="val 0"/>
          </a:avLst>
        </a:prstGeom>
        <a:solidFill>
          <a:schemeClr val="accent5">
            <a:tint val="50000"/>
            <a:hueOff val="-6685025"/>
            <a:satOff val="-25325"/>
            <a:lumOff val="841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2865" tIns="69850" rIns="41910" bIns="69850" numCol="1" spcCol="1270" anchor="t" anchorCtr="0">
          <a:noAutofit/>
        </a:bodyPr>
        <a:lstStyle/>
        <a:p>
          <a:pPr marL="0" lvl="0" indent="0" algn="l" defTabSz="488950">
            <a:lnSpc>
              <a:spcPct val="90000"/>
            </a:lnSpc>
            <a:spcBef>
              <a:spcPct val="0"/>
            </a:spcBef>
            <a:spcAft>
              <a:spcPct val="35000"/>
            </a:spcAft>
            <a:buNone/>
          </a:pPr>
          <a:r>
            <a:rPr lang="en-US" sz="1100" b="1" kern="1200"/>
            <a:t>Are you part of a Non Profit Organisation?</a:t>
          </a:r>
          <a:endParaRPr lang="en-US" sz="1100" kern="1200"/>
        </a:p>
        <a:p>
          <a:pPr marL="57150" lvl="1" indent="-57150" algn="l" defTabSz="488950">
            <a:lnSpc>
              <a:spcPct val="90000"/>
            </a:lnSpc>
            <a:spcBef>
              <a:spcPct val="0"/>
            </a:spcBef>
            <a:spcAft>
              <a:spcPct val="15000"/>
            </a:spcAft>
            <a:buChar char="•"/>
          </a:pPr>
          <a:r>
            <a:rPr lang="en-US" sz="1100" kern="1200"/>
            <a:t>Opportunity to interact with CSR funders at the TISS AESDII Bazaar</a:t>
          </a:r>
        </a:p>
        <a:p>
          <a:pPr marL="57150" lvl="1" indent="-57150" algn="l" defTabSz="488950">
            <a:lnSpc>
              <a:spcPct val="90000"/>
            </a:lnSpc>
            <a:spcBef>
              <a:spcPct val="0"/>
            </a:spcBef>
            <a:spcAft>
              <a:spcPct val="15000"/>
            </a:spcAft>
            <a:buChar char="•"/>
          </a:pPr>
          <a:r>
            <a:rPr lang="en-US" sz="1100" kern="1200"/>
            <a:t>Mentoring of flagship project proposals by TISS experts</a:t>
          </a:r>
        </a:p>
        <a:p>
          <a:pPr marL="57150" lvl="1" indent="-57150" algn="l" defTabSz="488950">
            <a:lnSpc>
              <a:spcPct val="90000"/>
            </a:lnSpc>
            <a:spcBef>
              <a:spcPct val="0"/>
            </a:spcBef>
            <a:spcAft>
              <a:spcPct val="15000"/>
            </a:spcAft>
            <a:buChar char="•"/>
          </a:pPr>
          <a:r>
            <a:rPr lang="en-US" sz="1100" kern="1200"/>
            <a:t>Capacity building and training on monitoring, evaluation and financial due dilligence</a:t>
          </a:r>
          <a:endParaRPr lang="en-US" sz="600" kern="1200"/>
        </a:p>
        <a:p>
          <a:pPr marL="57150" lvl="1" indent="-57150" algn="l" defTabSz="488950">
            <a:lnSpc>
              <a:spcPct val="90000"/>
            </a:lnSpc>
            <a:spcBef>
              <a:spcPct val="0"/>
            </a:spcBef>
            <a:spcAft>
              <a:spcPct val="15000"/>
            </a:spcAft>
            <a:buChar char="•"/>
          </a:pPr>
          <a:endParaRPr lang="en-US" sz="1100" kern="1200"/>
        </a:p>
      </dsp:txBody>
      <dsp:txXfrm rot="-5400000">
        <a:off x="1804057" y="85225"/>
        <a:ext cx="1659152" cy="2115665"/>
      </dsp:txXfrm>
    </dsp:sp>
    <dsp:sp modelId="{34BDD321-F413-9242-A669-2E67FAFECB6A}">
      <dsp:nvSpPr>
        <dsp:cNvPr id="0" name=""/>
        <dsp:cNvSpPr/>
      </dsp:nvSpPr>
      <dsp:spPr>
        <a:xfrm>
          <a:off x="1304539" y="-361104"/>
          <a:ext cx="938905" cy="938860"/>
        </a:xfrm>
        <a:prstGeom prst="circularArrow">
          <a:avLst>
            <a:gd name="adj1" fmla="val 12500"/>
            <a:gd name="adj2" fmla="val 1142322"/>
            <a:gd name="adj3" fmla="val 20457678"/>
            <a:gd name="adj4" fmla="val 10800000"/>
            <a:gd name="adj5" fmla="val 125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9B6AFF-D99F-1042-A8B7-FA8208443224}">
      <dsp:nvSpPr>
        <dsp:cNvPr id="0" name=""/>
        <dsp:cNvSpPr/>
      </dsp:nvSpPr>
      <dsp:spPr>
        <a:xfrm rot="10800000">
          <a:off x="1260739" y="1644927"/>
          <a:ext cx="938905" cy="938860"/>
        </a:xfrm>
        <a:prstGeom prst="circularArrow">
          <a:avLst>
            <a:gd name="adj1" fmla="val 12500"/>
            <a:gd name="adj2" fmla="val 1142322"/>
            <a:gd name="adj3" fmla="val 20457678"/>
            <a:gd name="adj4" fmla="val 10800000"/>
            <a:gd name="adj5" fmla="val 125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EDBA6-FF59-ED42-A95A-92935785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Misra</dc:creator>
  <cp:keywords/>
  <dc:description/>
  <cp:lastModifiedBy>Ami Misra</cp:lastModifiedBy>
  <cp:revision>2</cp:revision>
  <dcterms:created xsi:type="dcterms:W3CDTF">2018-04-10T12:48:00Z</dcterms:created>
  <dcterms:modified xsi:type="dcterms:W3CDTF">2018-04-10T12:48:00Z</dcterms:modified>
</cp:coreProperties>
</file>