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80" w:rsidRDefault="00172A80" w:rsidP="00FB7964">
      <w:pPr>
        <w:pStyle w:val="Heading1"/>
        <w:rPr>
          <w:rFonts w:eastAsia="Times New Roman"/>
          <w:lang w:eastAsia="en-IN"/>
        </w:rPr>
      </w:pPr>
      <w:r>
        <w:rPr>
          <w:rFonts w:eastAsia="Times New Roman"/>
          <w:lang w:eastAsia="en-IN"/>
        </w:rPr>
        <w:t>Website Content</w:t>
      </w:r>
    </w:p>
    <w:p w:rsidR="00172A80" w:rsidRDefault="00172A80" w:rsidP="00172A80">
      <w:pPr>
        <w:jc w:val="both"/>
        <w:rPr>
          <w:rFonts w:eastAsia="Times New Roman" w:cstheme="majorHAnsi"/>
          <w:sz w:val="22"/>
          <w:szCs w:val="22"/>
          <w:lang w:val="en-IN" w:eastAsia="en-IN"/>
        </w:rPr>
      </w:pPr>
    </w:p>
    <w:p w:rsidR="00FB4F8B" w:rsidRDefault="00172A80" w:rsidP="00172A80">
      <w:pPr>
        <w:jc w:val="both"/>
        <w:rPr>
          <w:rFonts w:eastAsia="Times New Roman" w:cstheme="majorHAnsi"/>
          <w:bCs/>
          <w:color w:val="000000"/>
          <w:sz w:val="22"/>
          <w:szCs w:val="22"/>
          <w:lang w:val="en-IN" w:eastAsia="en-IN"/>
        </w:rPr>
      </w:pPr>
      <w:r>
        <w:rPr>
          <w:rFonts w:eastAsia="Times New Roman" w:cstheme="majorHAnsi"/>
          <w:sz w:val="22"/>
          <w:szCs w:val="22"/>
          <w:lang w:val="en-IN" w:eastAsia="en-IN"/>
        </w:rPr>
        <w:t xml:space="preserve">The </w:t>
      </w:r>
      <w:r w:rsidRPr="00C87C89">
        <w:rPr>
          <w:rFonts w:eastAsia="Times New Roman" w:cstheme="majorHAnsi"/>
          <w:sz w:val="22"/>
          <w:szCs w:val="22"/>
          <w:lang w:val="en-IN" w:eastAsia="en-IN"/>
        </w:rPr>
        <w:t>“</w:t>
      </w:r>
      <w:r>
        <w:rPr>
          <w:rFonts w:eastAsia="Times New Roman" w:cstheme="majorHAnsi"/>
          <w:bCs/>
          <w:color w:val="000000"/>
          <w:sz w:val="22"/>
          <w:szCs w:val="22"/>
          <w:lang w:val="en-IN" w:eastAsia="en-IN"/>
        </w:rPr>
        <w:t>TISS AESDII–</w:t>
      </w:r>
      <w:r w:rsidRPr="00C87C89">
        <w:rPr>
          <w:rFonts w:eastAsia="Times New Roman" w:cstheme="majorHAnsi"/>
          <w:bCs/>
          <w:color w:val="000000"/>
          <w:sz w:val="22"/>
          <w:szCs w:val="22"/>
          <w:lang w:val="en-IN" w:eastAsia="en-IN"/>
        </w:rPr>
        <w:t>JGU CECRAS Northern Conclave for Building CSR Partnerships”</w:t>
      </w:r>
      <w:r>
        <w:rPr>
          <w:rFonts w:eastAsia="Times New Roman" w:cstheme="majorHAnsi"/>
          <w:bCs/>
          <w:color w:val="000000"/>
          <w:sz w:val="22"/>
          <w:szCs w:val="22"/>
          <w:lang w:val="en-IN" w:eastAsia="en-IN"/>
        </w:rPr>
        <w:t xml:space="preserve"> is</w:t>
      </w:r>
      <w:r w:rsidRPr="00C87C89">
        <w:rPr>
          <w:rFonts w:eastAsia="Times New Roman" w:cstheme="majorHAnsi"/>
          <w:bCs/>
          <w:color w:val="000000"/>
          <w:sz w:val="22"/>
          <w:szCs w:val="22"/>
          <w:lang w:val="en-IN" w:eastAsia="en-IN"/>
        </w:rPr>
        <w:t xml:space="preserve"> being </w:t>
      </w:r>
      <w:r>
        <w:rPr>
          <w:rFonts w:eastAsia="Times New Roman" w:cstheme="majorHAnsi"/>
          <w:bCs/>
          <w:color w:val="000000"/>
          <w:sz w:val="22"/>
          <w:szCs w:val="22"/>
          <w:lang w:val="en-IN" w:eastAsia="en-IN"/>
        </w:rPr>
        <w:t>organised</w:t>
      </w:r>
      <w:r w:rsidRPr="00C87C89">
        <w:rPr>
          <w:rFonts w:eastAsia="Times New Roman" w:cstheme="majorHAnsi"/>
          <w:bCs/>
          <w:color w:val="000000"/>
          <w:sz w:val="22"/>
          <w:szCs w:val="22"/>
          <w:lang w:val="en-IN" w:eastAsia="en-IN"/>
        </w:rPr>
        <w:t xml:space="preserve"> by the Tata Institute of Social Sciences – Assessment and Empanelment Standards for Development Institutions in India (TISS AESDII) and </w:t>
      </w:r>
      <w:r>
        <w:rPr>
          <w:rFonts w:eastAsia="Times New Roman" w:cstheme="majorHAnsi"/>
          <w:bCs/>
          <w:color w:val="000000"/>
          <w:sz w:val="22"/>
          <w:szCs w:val="22"/>
          <w:lang w:val="en-IN" w:eastAsia="en-IN"/>
        </w:rPr>
        <w:t>O. P. Jindal University –</w:t>
      </w:r>
      <w:r w:rsidRPr="00C87C89">
        <w:rPr>
          <w:rFonts w:eastAsia="Times New Roman" w:cstheme="majorHAnsi"/>
          <w:bCs/>
          <w:color w:val="000000"/>
          <w:sz w:val="22"/>
          <w:szCs w:val="22"/>
          <w:lang w:val="en-IN" w:eastAsia="en-IN"/>
        </w:rPr>
        <w:t xml:space="preserve"> Centre for Excellence in Corporate Responsibility and Sustainability</w:t>
      </w:r>
      <w:r>
        <w:rPr>
          <w:rFonts w:eastAsia="Times New Roman" w:cstheme="majorHAnsi"/>
          <w:bCs/>
          <w:color w:val="000000"/>
          <w:sz w:val="22"/>
          <w:szCs w:val="22"/>
          <w:lang w:val="en-IN" w:eastAsia="en-IN"/>
        </w:rPr>
        <w:t xml:space="preserve"> (JGU – CECRAS). The Conclave</w:t>
      </w:r>
      <w:r w:rsidRPr="00C87C89">
        <w:rPr>
          <w:rFonts w:eastAsia="Times New Roman" w:cstheme="majorHAnsi"/>
          <w:bCs/>
          <w:color w:val="000000"/>
          <w:sz w:val="22"/>
          <w:szCs w:val="22"/>
          <w:lang w:val="en-IN" w:eastAsia="en-IN"/>
        </w:rPr>
        <w:t xml:space="preserve"> </w:t>
      </w:r>
      <w:r>
        <w:rPr>
          <w:rFonts w:eastAsia="Times New Roman" w:cstheme="majorHAnsi"/>
          <w:bCs/>
          <w:color w:val="000000"/>
          <w:sz w:val="22"/>
          <w:szCs w:val="22"/>
          <w:lang w:val="en-IN" w:eastAsia="en-IN"/>
        </w:rPr>
        <w:t xml:space="preserve">is scheduled to take place </w:t>
      </w:r>
      <w:r w:rsidRPr="00C87C89">
        <w:rPr>
          <w:rFonts w:eastAsia="Times New Roman" w:cstheme="majorHAnsi"/>
          <w:bCs/>
          <w:color w:val="000000"/>
          <w:sz w:val="22"/>
          <w:szCs w:val="22"/>
          <w:lang w:val="en-IN" w:eastAsia="en-IN"/>
        </w:rPr>
        <w:t>between November 1</w:t>
      </w:r>
      <w:r w:rsidRPr="00C87C89">
        <w:rPr>
          <w:rFonts w:eastAsia="Times New Roman" w:cstheme="majorHAnsi"/>
          <w:bCs/>
          <w:color w:val="000000"/>
          <w:sz w:val="22"/>
          <w:szCs w:val="22"/>
          <w:vertAlign w:val="superscript"/>
          <w:lang w:val="en-IN" w:eastAsia="en-IN"/>
        </w:rPr>
        <w:t>st</w:t>
      </w:r>
      <w:r w:rsidRPr="00C87C89">
        <w:rPr>
          <w:rFonts w:eastAsia="Times New Roman" w:cstheme="majorHAnsi"/>
          <w:bCs/>
          <w:color w:val="000000"/>
          <w:sz w:val="22"/>
          <w:szCs w:val="22"/>
          <w:lang w:val="en-IN" w:eastAsia="en-IN"/>
        </w:rPr>
        <w:t xml:space="preserve"> and 3</w:t>
      </w:r>
      <w:r w:rsidRPr="00C87C89">
        <w:rPr>
          <w:rFonts w:eastAsia="Times New Roman" w:cstheme="majorHAnsi"/>
          <w:bCs/>
          <w:color w:val="000000"/>
          <w:sz w:val="22"/>
          <w:szCs w:val="22"/>
          <w:vertAlign w:val="superscript"/>
          <w:lang w:val="en-IN" w:eastAsia="en-IN"/>
        </w:rPr>
        <w:t>rd</w:t>
      </w:r>
      <w:r w:rsidRPr="00C87C89">
        <w:rPr>
          <w:rFonts w:eastAsia="Times New Roman" w:cstheme="majorHAnsi"/>
          <w:bCs/>
          <w:color w:val="000000"/>
          <w:sz w:val="22"/>
          <w:szCs w:val="22"/>
          <w:lang w:val="en-IN" w:eastAsia="en-IN"/>
        </w:rPr>
        <w:t>, 2018, at New Delhi.</w:t>
      </w:r>
      <w:r w:rsidRPr="00C87C89">
        <w:rPr>
          <w:rFonts w:eastAsia="Times New Roman" w:cstheme="majorHAnsi"/>
          <w:bCs/>
          <w:color w:val="222222"/>
          <w:sz w:val="22"/>
          <w:szCs w:val="22"/>
          <w:lang w:val="en-IN" w:eastAsia="en-IN"/>
        </w:rPr>
        <w:t> </w:t>
      </w:r>
      <w:r>
        <w:rPr>
          <w:rFonts w:eastAsia="Times New Roman" w:cstheme="majorHAnsi"/>
          <w:bCs/>
          <w:color w:val="000000"/>
          <w:sz w:val="22"/>
          <w:szCs w:val="22"/>
          <w:lang w:val="en-IN" w:eastAsia="en-IN"/>
        </w:rPr>
        <w:t>The C</w:t>
      </w:r>
      <w:r w:rsidRPr="00C87C89">
        <w:rPr>
          <w:rFonts w:eastAsia="Times New Roman" w:cstheme="majorHAnsi"/>
          <w:bCs/>
          <w:color w:val="000000"/>
          <w:sz w:val="22"/>
          <w:szCs w:val="22"/>
          <w:lang w:val="en-IN" w:eastAsia="en-IN"/>
        </w:rPr>
        <w:t xml:space="preserve">onclave is </w:t>
      </w:r>
      <w:r>
        <w:rPr>
          <w:rFonts w:eastAsia="Times New Roman" w:cstheme="majorHAnsi"/>
          <w:bCs/>
          <w:color w:val="000000"/>
          <w:sz w:val="22"/>
          <w:szCs w:val="22"/>
          <w:lang w:val="en-IN" w:eastAsia="en-IN"/>
        </w:rPr>
        <w:t xml:space="preserve">collaboratively organised by the UN Global Compact and </w:t>
      </w:r>
      <w:r w:rsidRPr="00C87C89">
        <w:rPr>
          <w:rFonts w:eastAsia="Times New Roman" w:cstheme="majorHAnsi"/>
          <w:bCs/>
          <w:color w:val="000000"/>
          <w:sz w:val="22"/>
          <w:szCs w:val="22"/>
          <w:lang w:val="en-IN" w:eastAsia="en-IN"/>
        </w:rPr>
        <w:t>powered by the Ryerson University, Canada</w:t>
      </w:r>
      <w:r>
        <w:rPr>
          <w:rFonts w:eastAsia="Times New Roman" w:cstheme="majorHAnsi"/>
          <w:bCs/>
          <w:color w:val="000000"/>
          <w:sz w:val="22"/>
          <w:szCs w:val="22"/>
          <w:lang w:val="en-IN" w:eastAsia="en-IN"/>
        </w:rPr>
        <w:t xml:space="preserve"> as well as the International Institute for Higher Education Research &amp; Capacity Building (at JGU).</w:t>
      </w:r>
    </w:p>
    <w:p w:rsidR="00172A80" w:rsidRDefault="00172A80" w:rsidP="00172A80">
      <w:pPr>
        <w:jc w:val="both"/>
        <w:rPr>
          <w:rFonts w:eastAsia="Times New Roman" w:cstheme="majorHAnsi"/>
          <w:bCs/>
          <w:color w:val="000000"/>
          <w:sz w:val="22"/>
          <w:szCs w:val="22"/>
          <w:lang w:val="en-IN" w:eastAsia="en-IN"/>
        </w:rPr>
      </w:pPr>
    </w:p>
    <w:p w:rsidR="00172A80" w:rsidRDefault="00172A80" w:rsidP="00172A80">
      <w:pPr>
        <w:shd w:val="clear" w:color="auto" w:fill="FFFFFF"/>
        <w:spacing w:after="160"/>
        <w:jc w:val="both"/>
        <w:rPr>
          <w:rFonts w:eastAsia="Times New Roman" w:cstheme="majorHAnsi"/>
          <w:color w:val="222222"/>
          <w:sz w:val="22"/>
          <w:szCs w:val="22"/>
          <w:lang w:val="en-IN" w:eastAsia="en-IN"/>
        </w:rPr>
      </w:pPr>
      <w:r w:rsidRPr="00A11C14">
        <w:rPr>
          <w:rFonts w:eastAsia="Times New Roman" w:cstheme="majorHAnsi"/>
          <w:color w:val="222222"/>
          <w:sz w:val="22"/>
          <w:szCs w:val="22"/>
          <w:lang w:val="en-IN" w:eastAsia="en-IN"/>
        </w:rPr>
        <w:t xml:space="preserve">As one of the foundational </w:t>
      </w:r>
      <w:r>
        <w:rPr>
          <w:rFonts w:eastAsia="Times New Roman" w:cstheme="majorHAnsi"/>
          <w:color w:val="222222"/>
          <w:sz w:val="22"/>
          <w:szCs w:val="22"/>
          <w:lang w:val="en-IN" w:eastAsia="en-IN"/>
        </w:rPr>
        <w:t xml:space="preserve">thought leaders </w:t>
      </w:r>
      <w:r w:rsidRPr="00A11C14">
        <w:rPr>
          <w:rFonts w:eastAsia="Times New Roman" w:cstheme="majorHAnsi"/>
          <w:color w:val="222222"/>
          <w:sz w:val="22"/>
          <w:szCs w:val="22"/>
          <w:lang w:val="en-IN" w:eastAsia="en-IN"/>
        </w:rPr>
        <w:t xml:space="preserve">on </w:t>
      </w:r>
      <w:r>
        <w:rPr>
          <w:rFonts w:eastAsia="Times New Roman" w:cstheme="majorHAnsi"/>
          <w:color w:val="222222"/>
          <w:sz w:val="22"/>
          <w:szCs w:val="22"/>
          <w:lang w:val="en-IN" w:eastAsia="en-IN"/>
        </w:rPr>
        <w:t>corporate social responsibility (CSR)</w:t>
      </w:r>
      <w:r w:rsidRPr="00A11C14">
        <w:rPr>
          <w:rFonts w:eastAsia="Times New Roman" w:cstheme="majorHAnsi"/>
          <w:color w:val="222222"/>
          <w:sz w:val="22"/>
          <w:szCs w:val="22"/>
          <w:lang w:val="en-IN" w:eastAsia="en-IN"/>
        </w:rPr>
        <w:t xml:space="preserve"> and leading universities in the social sciences in India, Tata Institute of Social Sciences (TISS) </w:t>
      </w:r>
      <w:r>
        <w:rPr>
          <w:rFonts w:eastAsia="Times New Roman" w:cstheme="majorHAnsi"/>
          <w:color w:val="222222"/>
          <w:sz w:val="22"/>
          <w:szCs w:val="22"/>
          <w:lang w:val="en-IN" w:eastAsia="en-IN"/>
        </w:rPr>
        <w:t>has been</w:t>
      </w:r>
      <w:r w:rsidRPr="00A11C14">
        <w:rPr>
          <w:rFonts w:eastAsia="Times New Roman" w:cstheme="majorHAnsi"/>
          <w:color w:val="222222"/>
          <w:sz w:val="22"/>
          <w:szCs w:val="22"/>
          <w:lang w:val="en-IN" w:eastAsia="en-IN"/>
        </w:rPr>
        <w:t xml:space="preserve"> organizing a series of</w:t>
      </w:r>
      <w:r>
        <w:rPr>
          <w:rFonts w:eastAsia="Times New Roman" w:cstheme="majorHAnsi"/>
          <w:color w:val="222222"/>
          <w:sz w:val="22"/>
          <w:szCs w:val="22"/>
          <w:lang w:val="en-IN" w:eastAsia="en-IN"/>
        </w:rPr>
        <w:t xml:space="preserve"> conclaves in 2018. The Northern Conclave is the third in this series. The three-day “</w:t>
      </w:r>
      <w:r w:rsidRPr="00A11C14">
        <w:rPr>
          <w:rFonts w:eastAsia="Times New Roman" w:cstheme="majorHAnsi"/>
          <w:color w:val="222222"/>
          <w:sz w:val="22"/>
          <w:szCs w:val="22"/>
          <w:lang w:val="en-IN" w:eastAsia="en-IN"/>
        </w:rPr>
        <w:t xml:space="preserve">Conclaves for </w:t>
      </w:r>
      <w:r>
        <w:rPr>
          <w:rFonts w:eastAsia="Times New Roman" w:cstheme="majorHAnsi"/>
          <w:color w:val="222222"/>
          <w:sz w:val="22"/>
          <w:szCs w:val="22"/>
          <w:lang w:val="en-IN" w:eastAsia="en-IN"/>
        </w:rPr>
        <w:t xml:space="preserve">Building CSR Partnerships" are set in the larger ethos of Goal 17 under the Sustainable Development Goals. We aspire to catalyse partnerships amidst multiple stakeholders for achieving sustainable and inclusive development.  </w:t>
      </w:r>
    </w:p>
    <w:p w:rsidR="00172A80" w:rsidRDefault="00172A80" w:rsidP="00172A80">
      <w:pPr>
        <w:shd w:val="clear" w:color="auto" w:fill="FFFFFF"/>
        <w:spacing w:after="160"/>
        <w:jc w:val="both"/>
        <w:rPr>
          <w:rFonts w:eastAsia="Times New Roman" w:cstheme="majorHAnsi"/>
          <w:color w:val="222222"/>
          <w:sz w:val="22"/>
          <w:szCs w:val="22"/>
          <w:lang w:val="en-IN" w:eastAsia="en-IN"/>
        </w:rPr>
      </w:pPr>
      <w:r>
        <w:rPr>
          <w:rFonts w:eastAsia="Times New Roman" w:cstheme="majorHAnsi"/>
          <w:color w:val="222222"/>
          <w:sz w:val="22"/>
          <w:szCs w:val="22"/>
          <w:lang w:val="en-IN" w:eastAsia="en-IN"/>
        </w:rPr>
        <w:t>The “</w:t>
      </w:r>
      <w:r w:rsidRPr="00A11C14">
        <w:rPr>
          <w:rFonts w:eastAsia="Times New Roman" w:cstheme="majorHAnsi"/>
          <w:color w:val="222222"/>
          <w:sz w:val="22"/>
          <w:szCs w:val="22"/>
          <w:lang w:val="en-IN" w:eastAsia="en-IN"/>
        </w:rPr>
        <w:t xml:space="preserve">Conclaves for </w:t>
      </w:r>
      <w:r>
        <w:rPr>
          <w:rFonts w:eastAsia="Times New Roman" w:cstheme="majorHAnsi"/>
          <w:color w:val="222222"/>
          <w:sz w:val="22"/>
          <w:szCs w:val="22"/>
          <w:lang w:val="en-IN" w:eastAsia="en-IN"/>
        </w:rPr>
        <w:t xml:space="preserve">Building CSR Partnerships” have already been held at </w:t>
      </w:r>
      <w:r w:rsidRPr="00930054">
        <w:rPr>
          <w:rFonts w:eastAsia="Times New Roman" w:cstheme="majorHAnsi"/>
          <w:sz w:val="22"/>
          <w:szCs w:val="22"/>
          <w:lang w:val="en-IN" w:eastAsia="en-IN"/>
        </w:rPr>
        <w:t>Bengaluru</w:t>
      </w:r>
      <w:r>
        <w:rPr>
          <w:rFonts w:eastAsia="Times New Roman" w:cstheme="majorHAnsi"/>
          <w:color w:val="222222"/>
          <w:sz w:val="22"/>
          <w:szCs w:val="22"/>
          <w:lang w:val="en-IN" w:eastAsia="en-IN"/>
        </w:rPr>
        <w:t xml:space="preserve"> and </w:t>
      </w:r>
      <w:r w:rsidRPr="00930054">
        <w:rPr>
          <w:rFonts w:eastAsia="Times New Roman" w:cstheme="majorHAnsi"/>
          <w:sz w:val="22"/>
          <w:szCs w:val="22"/>
          <w:lang w:val="en-IN" w:eastAsia="en-IN"/>
        </w:rPr>
        <w:t>Mumbai</w:t>
      </w:r>
      <w:r>
        <w:rPr>
          <w:rFonts w:eastAsia="Times New Roman" w:cstheme="majorHAnsi"/>
          <w:color w:val="222222"/>
          <w:sz w:val="22"/>
          <w:szCs w:val="22"/>
          <w:lang w:val="en-IN" w:eastAsia="en-IN"/>
        </w:rPr>
        <w:t xml:space="preserve"> in April and May, 2018 respectively. We have partnered with Indian Institute of Science, Bengaluru Central University, National Securities Depository Ltd. and The Better India in the past. </w:t>
      </w:r>
    </w:p>
    <w:p w:rsidR="00172A80" w:rsidRDefault="00172A80" w:rsidP="00172A80">
      <w:pPr>
        <w:shd w:val="clear" w:color="auto" w:fill="FFFFFF"/>
        <w:jc w:val="both"/>
        <w:rPr>
          <w:rFonts w:eastAsia="Times New Roman" w:cstheme="majorHAnsi"/>
          <w:color w:val="222222"/>
          <w:sz w:val="22"/>
          <w:szCs w:val="22"/>
          <w:lang w:val="en-IN" w:eastAsia="en-IN"/>
        </w:rPr>
      </w:pPr>
      <w:r>
        <w:rPr>
          <w:rFonts w:eastAsia="Times New Roman" w:cstheme="majorHAnsi"/>
          <w:color w:val="222222"/>
          <w:sz w:val="22"/>
          <w:szCs w:val="22"/>
          <w:lang w:val="en-IN" w:eastAsia="en-IN"/>
        </w:rPr>
        <w:t xml:space="preserve">To see the full coverage of the Conclaves, please follow the following links – </w:t>
      </w:r>
    </w:p>
    <w:p w:rsidR="00172A80" w:rsidRDefault="00172A80" w:rsidP="00172A80">
      <w:pPr>
        <w:shd w:val="clear" w:color="auto" w:fill="FFFFFF"/>
        <w:jc w:val="both"/>
        <w:rPr>
          <w:rFonts w:eastAsia="Times New Roman" w:cstheme="majorHAnsi"/>
          <w:color w:val="222222"/>
          <w:sz w:val="22"/>
          <w:szCs w:val="22"/>
          <w:lang w:val="en-IN" w:eastAsia="en-IN"/>
        </w:rPr>
      </w:pPr>
      <w:r>
        <w:rPr>
          <w:rFonts w:eastAsia="Times New Roman" w:cstheme="majorHAnsi"/>
          <w:color w:val="222222"/>
          <w:sz w:val="22"/>
          <w:szCs w:val="22"/>
          <w:lang w:val="en-IN" w:eastAsia="en-IN"/>
        </w:rPr>
        <w:t xml:space="preserve">Bengaluru: </w:t>
      </w:r>
      <w:hyperlink r:id="rId5" w:history="1">
        <w:r w:rsidRPr="003E7C45">
          <w:rPr>
            <w:rStyle w:val="Hyperlink"/>
            <w:rFonts w:eastAsia="Times New Roman" w:cstheme="majorHAnsi"/>
            <w:sz w:val="22"/>
            <w:szCs w:val="22"/>
            <w:lang w:val="en-IN" w:eastAsia="en-IN"/>
          </w:rPr>
          <w:t>https://</w:t>
        </w:r>
        <w:proofErr w:type="spellStart"/>
        <w:r w:rsidRPr="003E7C45">
          <w:rPr>
            <w:rStyle w:val="Hyperlink"/>
            <w:rFonts w:eastAsia="Times New Roman" w:cstheme="majorHAnsi"/>
            <w:sz w:val="22"/>
            <w:szCs w:val="22"/>
            <w:lang w:val="en-IN" w:eastAsia="en-IN"/>
          </w:rPr>
          <w:t>goo.gl</w:t>
        </w:r>
        <w:proofErr w:type="spellEnd"/>
        <w:r w:rsidRPr="003E7C45">
          <w:rPr>
            <w:rStyle w:val="Hyperlink"/>
            <w:rFonts w:eastAsia="Times New Roman" w:cstheme="majorHAnsi"/>
            <w:sz w:val="22"/>
            <w:szCs w:val="22"/>
            <w:lang w:val="en-IN" w:eastAsia="en-IN"/>
          </w:rPr>
          <w:t>/f51YiN</w:t>
        </w:r>
      </w:hyperlink>
      <w:r>
        <w:rPr>
          <w:rFonts w:eastAsia="Times New Roman" w:cstheme="majorHAnsi"/>
          <w:sz w:val="22"/>
          <w:szCs w:val="22"/>
          <w:lang w:val="en-IN" w:eastAsia="en-IN"/>
        </w:rPr>
        <w:t xml:space="preserve">; </w:t>
      </w:r>
      <w:r>
        <w:rPr>
          <w:rFonts w:eastAsia="Times New Roman" w:cstheme="majorHAnsi"/>
          <w:color w:val="222222"/>
          <w:sz w:val="22"/>
          <w:szCs w:val="22"/>
          <w:lang w:val="en-IN" w:eastAsia="en-IN"/>
        </w:rPr>
        <w:t xml:space="preserve">Mumbai: </w:t>
      </w:r>
      <w:hyperlink r:id="rId6" w:history="1">
        <w:r w:rsidRPr="003E7C45">
          <w:rPr>
            <w:rStyle w:val="Hyperlink"/>
            <w:rFonts w:eastAsia="Times New Roman" w:cstheme="majorHAnsi"/>
            <w:sz w:val="22"/>
            <w:szCs w:val="22"/>
            <w:lang w:val="en-IN" w:eastAsia="en-IN"/>
          </w:rPr>
          <w:t>https://</w:t>
        </w:r>
        <w:proofErr w:type="spellStart"/>
        <w:r w:rsidRPr="003E7C45">
          <w:rPr>
            <w:rStyle w:val="Hyperlink"/>
            <w:rFonts w:eastAsia="Times New Roman" w:cstheme="majorHAnsi"/>
            <w:sz w:val="22"/>
            <w:szCs w:val="22"/>
            <w:lang w:val="en-IN" w:eastAsia="en-IN"/>
          </w:rPr>
          <w:t>youtu.be</w:t>
        </w:r>
        <w:proofErr w:type="spellEnd"/>
        <w:r w:rsidRPr="003E7C45">
          <w:rPr>
            <w:rStyle w:val="Hyperlink"/>
            <w:rFonts w:eastAsia="Times New Roman" w:cstheme="majorHAnsi"/>
            <w:sz w:val="22"/>
            <w:szCs w:val="22"/>
            <w:lang w:val="en-IN" w:eastAsia="en-IN"/>
          </w:rPr>
          <w:t>/sJgU7LqfKU8</w:t>
        </w:r>
      </w:hyperlink>
      <w:r w:rsidR="00FB7964">
        <w:rPr>
          <w:rFonts w:eastAsia="Times New Roman" w:cstheme="majorHAnsi"/>
          <w:color w:val="222222"/>
          <w:sz w:val="22"/>
          <w:szCs w:val="22"/>
          <w:lang w:val="en-IN" w:eastAsia="en-IN"/>
        </w:rPr>
        <w:t xml:space="preserve">. </w:t>
      </w:r>
    </w:p>
    <w:p w:rsidR="00172A80" w:rsidRPr="00930054" w:rsidRDefault="00172A80" w:rsidP="00172A80">
      <w:pPr>
        <w:shd w:val="clear" w:color="auto" w:fill="FFFFFF"/>
        <w:jc w:val="both"/>
        <w:rPr>
          <w:rFonts w:eastAsia="Times New Roman" w:cstheme="majorHAnsi"/>
          <w:sz w:val="22"/>
          <w:szCs w:val="22"/>
          <w:lang w:val="en-IN" w:eastAsia="en-IN"/>
        </w:rPr>
      </w:pPr>
    </w:p>
    <w:p w:rsidR="00172A80" w:rsidRPr="00A11C14" w:rsidRDefault="00172A80" w:rsidP="00172A80">
      <w:pPr>
        <w:shd w:val="clear" w:color="auto" w:fill="FFFFFF"/>
        <w:spacing w:after="160"/>
        <w:jc w:val="both"/>
        <w:rPr>
          <w:rFonts w:eastAsia="Times New Roman" w:cstheme="majorHAnsi"/>
          <w:color w:val="222222"/>
          <w:sz w:val="22"/>
          <w:szCs w:val="22"/>
          <w:lang w:val="en-IN" w:eastAsia="en-IN"/>
        </w:rPr>
      </w:pPr>
      <w:r w:rsidRPr="00A11C14">
        <w:rPr>
          <w:rFonts w:eastAsia="Times New Roman" w:cstheme="majorHAnsi"/>
          <w:color w:val="222222"/>
          <w:sz w:val="22"/>
          <w:szCs w:val="22"/>
          <w:lang w:val="en-IN" w:eastAsia="en-IN"/>
        </w:rPr>
        <w:t xml:space="preserve">The </w:t>
      </w:r>
      <w:r>
        <w:rPr>
          <w:rFonts w:eastAsia="Times New Roman" w:cstheme="majorHAnsi"/>
          <w:color w:val="222222"/>
          <w:sz w:val="22"/>
          <w:szCs w:val="22"/>
          <w:lang w:val="en-IN" w:eastAsia="en-IN"/>
        </w:rPr>
        <w:t>Northern</w:t>
      </w:r>
      <w:r w:rsidRPr="00A11C14">
        <w:rPr>
          <w:rFonts w:eastAsia="Times New Roman" w:cstheme="majorHAnsi"/>
          <w:color w:val="222222"/>
          <w:sz w:val="22"/>
          <w:szCs w:val="22"/>
          <w:lang w:val="en-IN" w:eastAsia="en-IN"/>
        </w:rPr>
        <w:t xml:space="preserve"> Conclave comprises of a comprehensive schedule that is designed to be a platform for action and discussion forum </w:t>
      </w:r>
      <w:r>
        <w:rPr>
          <w:rFonts w:eastAsia="Times New Roman" w:cstheme="majorHAnsi"/>
          <w:color w:val="222222"/>
          <w:sz w:val="22"/>
          <w:szCs w:val="22"/>
          <w:lang w:val="en-IN" w:eastAsia="en-IN"/>
        </w:rPr>
        <w:t xml:space="preserve">which </w:t>
      </w:r>
      <w:r w:rsidRPr="00A11C14">
        <w:rPr>
          <w:rFonts w:eastAsia="Times New Roman" w:cstheme="majorHAnsi"/>
          <w:color w:val="222222"/>
          <w:sz w:val="22"/>
          <w:szCs w:val="22"/>
          <w:lang w:val="en-IN" w:eastAsia="en-IN"/>
        </w:rPr>
        <w:t xml:space="preserve">apart from providing ways of </w:t>
      </w:r>
      <w:r>
        <w:rPr>
          <w:rFonts w:eastAsia="Times New Roman" w:cstheme="majorHAnsi"/>
          <w:color w:val="222222"/>
          <w:sz w:val="22"/>
          <w:szCs w:val="22"/>
          <w:lang w:val="en-IN" w:eastAsia="en-IN"/>
        </w:rPr>
        <w:t>thinking and doing also attempt</w:t>
      </w:r>
      <w:r w:rsidRPr="00A11C14">
        <w:rPr>
          <w:rFonts w:eastAsia="Times New Roman" w:cstheme="majorHAnsi"/>
          <w:color w:val="222222"/>
          <w:sz w:val="22"/>
          <w:szCs w:val="22"/>
          <w:lang w:val="en-IN" w:eastAsia="en-IN"/>
        </w:rPr>
        <w:t xml:space="preserve">s to link </w:t>
      </w:r>
      <w:r>
        <w:rPr>
          <w:rFonts w:eastAsia="Times New Roman" w:cstheme="majorHAnsi"/>
          <w:color w:val="222222"/>
          <w:sz w:val="22"/>
          <w:szCs w:val="22"/>
          <w:lang w:val="en-IN" w:eastAsia="en-IN"/>
        </w:rPr>
        <w:t xml:space="preserve">corporations, non-profit organisations (NPOs), government entities and academia. The Conclaves are an opportunity for building and sharing skills useful for CSR practitioners, development workers and other stakeholders concerned with optimizing social impact. </w:t>
      </w:r>
    </w:p>
    <w:p w:rsidR="00FB7964" w:rsidRDefault="00172A80" w:rsidP="00A07A4B">
      <w:pPr>
        <w:shd w:val="clear" w:color="auto" w:fill="FFFFFF"/>
        <w:spacing w:after="160"/>
        <w:jc w:val="both"/>
        <w:rPr>
          <w:rStyle w:val="Hyperlink"/>
          <w:rFonts w:eastAsia="Times New Roman" w:cstheme="majorHAnsi"/>
          <w:color w:val="222222"/>
          <w:sz w:val="22"/>
          <w:szCs w:val="22"/>
          <w:u w:val="none"/>
          <w:shd w:val="clear" w:color="auto" w:fill="FFFFFF"/>
          <w:lang w:val="en-IN" w:eastAsia="en-IN"/>
        </w:rPr>
      </w:pPr>
      <w:r w:rsidRPr="00A11C14">
        <w:rPr>
          <w:rFonts w:eastAsia="Times New Roman" w:cstheme="majorHAnsi"/>
          <w:color w:val="222222"/>
          <w:sz w:val="22"/>
          <w:szCs w:val="22"/>
          <w:lang w:val="en-IN" w:eastAsia="en-IN"/>
        </w:rPr>
        <w:t>We welcome </w:t>
      </w:r>
      <w:r w:rsidRPr="00A11C14">
        <w:rPr>
          <w:rFonts w:eastAsia="Times New Roman" w:cstheme="majorHAnsi"/>
          <w:bCs/>
          <w:color w:val="222222"/>
          <w:sz w:val="22"/>
          <w:szCs w:val="22"/>
          <w:lang w:val="en-IN" w:eastAsia="en-IN"/>
        </w:rPr>
        <w:t>participants</w:t>
      </w:r>
      <w:r w:rsidRPr="00A11C14">
        <w:rPr>
          <w:rFonts w:eastAsia="Times New Roman" w:cstheme="majorHAnsi"/>
          <w:color w:val="222222"/>
          <w:sz w:val="22"/>
          <w:szCs w:val="22"/>
          <w:lang w:val="en-IN" w:eastAsia="en-IN"/>
        </w:rPr>
        <w:t> </w:t>
      </w:r>
      <w:r>
        <w:rPr>
          <w:rFonts w:eastAsia="Times New Roman" w:cstheme="majorHAnsi"/>
          <w:bCs/>
          <w:color w:val="222222"/>
          <w:sz w:val="22"/>
          <w:szCs w:val="22"/>
          <w:lang w:val="en-IN" w:eastAsia="en-IN"/>
        </w:rPr>
        <w:t>to be a part of the </w:t>
      </w:r>
      <w:r w:rsidRPr="00A11C14">
        <w:rPr>
          <w:rFonts w:eastAsia="Times New Roman" w:cstheme="majorHAnsi"/>
          <w:bCs/>
          <w:color w:val="222222"/>
          <w:sz w:val="22"/>
          <w:szCs w:val="22"/>
          <w:lang w:val="en-IN" w:eastAsia="en-IN"/>
        </w:rPr>
        <w:t>Conclave based on their interest on</w:t>
      </w:r>
      <w:r w:rsidRPr="00A11C14">
        <w:rPr>
          <w:rFonts w:eastAsia="Times New Roman" w:cstheme="majorHAnsi"/>
          <w:color w:val="222222"/>
          <w:sz w:val="22"/>
          <w:szCs w:val="22"/>
          <w:lang w:val="en-IN" w:eastAsia="en-IN"/>
        </w:rPr>
        <w:t> all three days</w:t>
      </w:r>
      <w:r w:rsidR="00A07A4B">
        <w:rPr>
          <w:rFonts w:eastAsia="Times New Roman" w:cstheme="majorHAnsi"/>
          <w:color w:val="222222"/>
          <w:sz w:val="22"/>
          <w:szCs w:val="22"/>
          <w:shd w:val="clear" w:color="auto" w:fill="FFFFFF"/>
          <w:lang w:val="en-IN" w:eastAsia="en-IN"/>
        </w:rPr>
        <w:t>.</w:t>
      </w:r>
    </w:p>
    <w:p w:rsidR="00A07A4B" w:rsidRPr="00A07A4B" w:rsidRDefault="00A07A4B" w:rsidP="00A07A4B">
      <w:pPr>
        <w:shd w:val="clear" w:color="auto" w:fill="FFFFFF"/>
        <w:spacing w:after="160"/>
        <w:jc w:val="both"/>
        <w:rPr>
          <w:rStyle w:val="Hyperlink"/>
          <w:rFonts w:eastAsia="Times New Roman" w:cstheme="majorHAnsi"/>
          <w:color w:val="222222"/>
          <w:sz w:val="22"/>
          <w:szCs w:val="22"/>
          <w:u w:val="none"/>
          <w:shd w:val="clear" w:color="auto" w:fill="FFFFFF"/>
          <w:lang w:val="en-IN" w:eastAsia="en-IN"/>
        </w:rPr>
      </w:pPr>
    </w:p>
    <w:p w:rsidR="00FB7964" w:rsidRDefault="00FB7964" w:rsidP="00FB7964">
      <w:r w:rsidRPr="00932206">
        <w:rPr>
          <w:rStyle w:val="Heading1Char"/>
        </w:rPr>
        <w:t>THE FINE PRINT</w:t>
      </w:r>
    </w:p>
    <w:p w:rsidR="00FB7964" w:rsidRDefault="00FB7964" w:rsidP="00FB7964">
      <w:r>
        <w:t>*All participants shall be given a certificate of participation for attending the sessions of the training programme.</w:t>
      </w:r>
    </w:p>
    <w:p w:rsidR="00FB7964" w:rsidRDefault="00FB7964" w:rsidP="00FB7964">
      <w:r>
        <w:t xml:space="preserve">*For more details, please feel free to get in touch with Ms. </w:t>
      </w:r>
      <w:proofErr w:type="spellStart"/>
      <w:r>
        <w:t>Rajisha</w:t>
      </w:r>
      <w:proofErr w:type="spellEnd"/>
      <w:r>
        <w:t xml:space="preserve"> </w:t>
      </w:r>
      <w:proofErr w:type="spellStart"/>
      <w:r>
        <w:t>Vineet</w:t>
      </w:r>
      <w:proofErr w:type="spellEnd"/>
      <w:r>
        <w:t xml:space="preserve"> or Ms. </w:t>
      </w:r>
      <w:proofErr w:type="spellStart"/>
      <w:r>
        <w:t>Dwiya</w:t>
      </w:r>
      <w:proofErr w:type="spellEnd"/>
      <w:r>
        <w:t xml:space="preserve"> </w:t>
      </w:r>
      <w:proofErr w:type="spellStart"/>
      <w:r>
        <w:t>Saha</w:t>
      </w:r>
      <w:proofErr w:type="spellEnd"/>
      <w:r>
        <w:t xml:space="preserve"> on</w:t>
      </w:r>
    </w:p>
    <w:p w:rsidR="00FB7964" w:rsidRDefault="00FB7964" w:rsidP="00FB7964">
      <w:r>
        <w:t xml:space="preserve">022 2552 5848/ +91 9831651480 or email us on </w:t>
      </w:r>
      <w:hyperlink r:id="rId7" w:history="1">
        <w:proofErr w:type="spellStart"/>
        <w:r w:rsidRPr="00932206">
          <w:rPr>
            <w:rStyle w:val="Hyperlink"/>
          </w:rPr>
          <w:t>tissaesdiiknowledgesharing@gmail.com</w:t>
        </w:r>
        <w:proofErr w:type="spellEnd"/>
      </w:hyperlink>
    </w:p>
    <w:p w:rsidR="00FB7964" w:rsidRDefault="00FB7964" w:rsidP="00FB7964">
      <w:pPr>
        <w:pStyle w:val="Heading2"/>
      </w:pPr>
      <w:r>
        <w:t>PAYMENT INFORMATION</w:t>
      </w:r>
    </w:p>
    <w:p w:rsidR="00FB7964" w:rsidRPr="00324A26" w:rsidRDefault="00FB7964" w:rsidP="00FB7964">
      <w:r>
        <w:t xml:space="preserve">The </w:t>
      </w:r>
      <w:r w:rsidRPr="00324A26">
        <w:rPr>
          <w:b/>
        </w:rPr>
        <w:t>fee structure</w:t>
      </w:r>
      <w:r>
        <w:t xml:space="preserve"> is noted in the table below.</w:t>
      </w:r>
    </w:p>
    <w:tbl>
      <w:tblPr>
        <w:tblStyle w:val="GridTable1Light-Accent5"/>
        <w:tblW w:w="10427" w:type="dxa"/>
        <w:tblLook w:val="00A0" w:firstRow="1" w:lastRow="0" w:firstColumn="1" w:lastColumn="0" w:noHBand="0" w:noVBand="0"/>
      </w:tblPr>
      <w:tblGrid>
        <w:gridCol w:w="1386"/>
        <w:gridCol w:w="4908"/>
        <w:gridCol w:w="4133"/>
      </w:tblGrid>
      <w:tr w:rsidR="00FB7964" w:rsidRPr="00324A26" w:rsidTr="00AF047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86" w:type="dxa"/>
          </w:tcPr>
          <w:p w:rsidR="00FB7964" w:rsidRPr="00324A26" w:rsidRDefault="00FB7964" w:rsidP="00AF0473">
            <w:pPr>
              <w:rPr>
                <w:b w:val="0"/>
              </w:rPr>
            </w:pPr>
            <w:r w:rsidRPr="00324A26">
              <w:rPr>
                <w:rFonts w:eastAsia="Times New Roman"/>
                <w:sz w:val="20"/>
                <w:szCs w:val="20"/>
              </w:rPr>
              <w:t>Sr. No</w:t>
            </w:r>
            <w:r>
              <w:rPr>
                <w:rFonts w:eastAsia="Times New Roman"/>
                <w:sz w:val="20"/>
                <w:szCs w:val="20"/>
              </w:rPr>
              <w:t>.</w:t>
            </w:r>
          </w:p>
        </w:tc>
        <w:tc>
          <w:tcPr>
            <w:tcW w:w="4908" w:type="dxa"/>
          </w:tcPr>
          <w:p w:rsidR="00FB7964" w:rsidRPr="00324A26" w:rsidRDefault="00FB7964" w:rsidP="00AF0473">
            <w:pPr>
              <w:cnfStyle w:val="100000000000" w:firstRow="1" w:lastRow="0" w:firstColumn="0" w:lastColumn="0" w:oddVBand="0" w:evenVBand="0" w:oddHBand="0" w:evenHBand="0" w:firstRowFirstColumn="0" w:firstRowLastColumn="0" w:lastRowFirstColumn="0" w:lastRowLastColumn="0"/>
            </w:pPr>
            <w:r w:rsidRPr="00324A26">
              <w:rPr>
                <w:rFonts w:eastAsia="Times New Roman"/>
                <w:sz w:val="20"/>
                <w:szCs w:val="20"/>
              </w:rPr>
              <w:t>Organisation</w:t>
            </w:r>
          </w:p>
        </w:tc>
        <w:tc>
          <w:tcPr>
            <w:tcW w:w="4133" w:type="dxa"/>
          </w:tcPr>
          <w:p w:rsidR="00FB7964" w:rsidRPr="00324A26" w:rsidRDefault="00FB7964" w:rsidP="00AF0473">
            <w:pPr>
              <w:cnfStyle w:val="100000000000" w:firstRow="1" w:lastRow="0" w:firstColumn="0" w:lastColumn="0" w:oddVBand="0" w:evenVBand="0" w:oddHBand="0" w:evenHBand="0" w:firstRowFirstColumn="0" w:firstRowLastColumn="0" w:lastRowFirstColumn="0" w:lastRowLastColumn="0"/>
            </w:pPr>
            <w:r w:rsidRPr="00324A26">
              <w:rPr>
                <w:rFonts w:eastAsia="Times New Roman"/>
                <w:sz w:val="20"/>
                <w:szCs w:val="20"/>
              </w:rPr>
              <w:t>Amount Per Day Per Participant*</w:t>
            </w:r>
          </w:p>
        </w:tc>
      </w:tr>
      <w:tr w:rsidR="00FB7964" w:rsidRPr="00324A26" w:rsidTr="00AF0473">
        <w:trPr>
          <w:trHeight w:val="252"/>
        </w:trPr>
        <w:tc>
          <w:tcPr>
            <w:cnfStyle w:val="001000000000" w:firstRow="0" w:lastRow="0" w:firstColumn="1" w:lastColumn="0" w:oddVBand="0" w:evenVBand="0" w:oddHBand="0" w:evenHBand="0" w:firstRowFirstColumn="0" w:firstRowLastColumn="0" w:lastRowFirstColumn="0" w:lastRowLastColumn="0"/>
            <w:tcW w:w="1386" w:type="dxa"/>
          </w:tcPr>
          <w:p w:rsidR="00FB7964" w:rsidRPr="00324A26" w:rsidRDefault="00FB7964" w:rsidP="00AF0473">
            <w:r>
              <w:t>1</w:t>
            </w:r>
          </w:p>
        </w:tc>
        <w:tc>
          <w:tcPr>
            <w:tcW w:w="4908" w:type="dxa"/>
          </w:tcPr>
          <w:p w:rsidR="00FB7964" w:rsidRDefault="00FB7964" w:rsidP="00AF0473">
            <w:pPr>
              <w:cnfStyle w:val="000000000000" w:firstRow="0" w:lastRow="0" w:firstColumn="0" w:lastColumn="0" w:oddVBand="0" w:evenVBand="0" w:oddHBand="0" w:evenHBand="0" w:firstRowFirstColumn="0" w:firstRowLastColumn="0" w:lastRowFirstColumn="0" w:lastRowLastColumn="0"/>
            </w:pPr>
            <w:r w:rsidRPr="00F06865">
              <w:t>Companies (Public and Private Sector)</w:t>
            </w:r>
          </w:p>
          <w:p w:rsidR="00FB7964" w:rsidRPr="00576E52" w:rsidRDefault="00FB7964" w:rsidP="00AF0473">
            <w:pPr>
              <w:jc w:val="both"/>
              <w:cnfStyle w:val="000000000000" w:firstRow="0" w:lastRow="0" w:firstColumn="0" w:lastColumn="0" w:oddVBand="0" w:evenVBand="0" w:oddHBand="0" w:evenHBand="0" w:firstRowFirstColumn="0" w:firstRowLastColumn="0" w:lastRowFirstColumn="0" w:lastRowLastColumn="0"/>
              <w:rPr>
                <w:b/>
              </w:rPr>
            </w:pPr>
            <w:r w:rsidRPr="00576E52">
              <w:rPr>
                <w:b/>
                <w:color w:val="44546A" w:themeColor="text2"/>
              </w:rPr>
              <w:t>(Companies that register for the first two days are allowed to attend the TISS AESDII Bazaar for free on the third day of the Conclave.)</w:t>
            </w:r>
          </w:p>
        </w:tc>
        <w:tc>
          <w:tcPr>
            <w:tcW w:w="4133" w:type="dxa"/>
          </w:tcPr>
          <w:p w:rsidR="00FB7964" w:rsidRPr="00324A26" w:rsidRDefault="00FB7964" w:rsidP="00AF0473">
            <w:pPr>
              <w:cnfStyle w:val="000000000000" w:firstRow="0" w:lastRow="0" w:firstColumn="0" w:lastColumn="0" w:oddVBand="0" w:evenVBand="0" w:oddHBand="0" w:evenHBand="0" w:firstRowFirstColumn="0" w:firstRowLastColumn="0" w:lastRowFirstColumn="0" w:lastRowLastColumn="0"/>
            </w:pPr>
            <w:proofErr w:type="spellStart"/>
            <w:r w:rsidRPr="00F06865">
              <w:t>Rs</w:t>
            </w:r>
            <w:proofErr w:type="spellEnd"/>
            <w:r w:rsidRPr="00F06865">
              <w:t>. 18,000/-</w:t>
            </w:r>
          </w:p>
        </w:tc>
      </w:tr>
      <w:tr w:rsidR="00FB7964" w:rsidRPr="00324A26" w:rsidTr="00AF0473">
        <w:trPr>
          <w:trHeight w:val="252"/>
        </w:trPr>
        <w:tc>
          <w:tcPr>
            <w:cnfStyle w:val="001000000000" w:firstRow="0" w:lastRow="0" w:firstColumn="1" w:lastColumn="0" w:oddVBand="0" w:evenVBand="0" w:oddHBand="0" w:evenHBand="0" w:firstRowFirstColumn="0" w:firstRowLastColumn="0" w:lastRowFirstColumn="0" w:lastRowLastColumn="0"/>
            <w:tcW w:w="1386" w:type="dxa"/>
          </w:tcPr>
          <w:p w:rsidR="00FB7964" w:rsidRDefault="00FB7964" w:rsidP="00AF0473">
            <w:r>
              <w:t>2</w:t>
            </w:r>
          </w:p>
        </w:tc>
        <w:tc>
          <w:tcPr>
            <w:tcW w:w="4908" w:type="dxa"/>
          </w:tcPr>
          <w:p w:rsidR="00FB7964" w:rsidRPr="00F06865" w:rsidRDefault="00FB7964" w:rsidP="00AF0473">
            <w:pPr>
              <w:cnfStyle w:val="000000000000" w:firstRow="0" w:lastRow="0" w:firstColumn="0" w:lastColumn="0" w:oddVBand="0" w:evenVBand="0" w:oddHBand="0" w:evenHBand="0" w:firstRowFirstColumn="0" w:firstRowLastColumn="0" w:lastRowFirstColumn="0" w:lastRowLastColumn="0"/>
            </w:pPr>
            <w:r>
              <w:t>Non-</w:t>
            </w:r>
            <w:r w:rsidRPr="00324A26">
              <w:t xml:space="preserve">empanelled </w:t>
            </w:r>
            <w:r>
              <w:t xml:space="preserve">Non-Profit Organisations/ Individuals </w:t>
            </w:r>
          </w:p>
        </w:tc>
        <w:tc>
          <w:tcPr>
            <w:tcW w:w="4133" w:type="dxa"/>
          </w:tcPr>
          <w:p w:rsidR="00FB7964" w:rsidRPr="00F06865" w:rsidRDefault="00FB7964" w:rsidP="00AF0473">
            <w:pPr>
              <w:cnfStyle w:val="000000000000" w:firstRow="0" w:lastRow="0" w:firstColumn="0" w:lastColumn="0" w:oddVBand="0" w:evenVBand="0" w:oddHBand="0" w:evenHBand="0" w:firstRowFirstColumn="0" w:firstRowLastColumn="0" w:lastRowFirstColumn="0" w:lastRowLastColumn="0"/>
            </w:pPr>
            <w:proofErr w:type="spellStart"/>
            <w:r w:rsidRPr="00324A26">
              <w:t>Rs</w:t>
            </w:r>
            <w:proofErr w:type="spellEnd"/>
            <w:r w:rsidRPr="00324A26">
              <w:t>. 4,500/-</w:t>
            </w:r>
          </w:p>
        </w:tc>
      </w:tr>
      <w:tr w:rsidR="00FB7964" w:rsidRPr="00324A26" w:rsidTr="00AF0473">
        <w:trPr>
          <w:trHeight w:val="252"/>
        </w:trPr>
        <w:tc>
          <w:tcPr>
            <w:cnfStyle w:val="001000000000" w:firstRow="0" w:lastRow="0" w:firstColumn="1" w:lastColumn="0" w:oddVBand="0" w:evenVBand="0" w:oddHBand="0" w:evenHBand="0" w:firstRowFirstColumn="0" w:firstRowLastColumn="0" w:lastRowFirstColumn="0" w:lastRowLastColumn="0"/>
            <w:tcW w:w="1386" w:type="dxa"/>
          </w:tcPr>
          <w:p w:rsidR="00FB7964" w:rsidRDefault="00FB7964" w:rsidP="00AF0473">
            <w:r>
              <w:t>3</w:t>
            </w:r>
          </w:p>
        </w:tc>
        <w:tc>
          <w:tcPr>
            <w:tcW w:w="4908" w:type="dxa"/>
          </w:tcPr>
          <w:p w:rsidR="00FB7964" w:rsidRPr="00324A26" w:rsidRDefault="00FB7964" w:rsidP="00AF0473">
            <w:pPr>
              <w:cnfStyle w:val="000000000000" w:firstRow="0" w:lastRow="0" w:firstColumn="0" w:lastColumn="0" w:oddVBand="0" w:evenVBand="0" w:oddHBand="0" w:evenHBand="0" w:firstRowFirstColumn="0" w:firstRowLastColumn="0" w:lastRowFirstColumn="0" w:lastRowLastColumn="0"/>
            </w:pPr>
            <w:r w:rsidRPr="00324A26">
              <w:t xml:space="preserve">TISS Empanelled </w:t>
            </w:r>
            <w:r>
              <w:t xml:space="preserve">Non-Profit Organisations </w:t>
            </w:r>
          </w:p>
        </w:tc>
        <w:tc>
          <w:tcPr>
            <w:tcW w:w="4133" w:type="dxa"/>
          </w:tcPr>
          <w:p w:rsidR="00FB7964" w:rsidRPr="00324A26" w:rsidRDefault="00FB7964" w:rsidP="00AF0473">
            <w:pPr>
              <w:cnfStyle w:val="000000000000" w:firstRow="0" w:lastRow="0" w:firstColumn="0" w:lastColumn="0" w:oddVBand="0" w:evenVBand="0" w:oddHBand="0" w:evenHBand="0" w:firstRowFirstColumn="0" w:firstRowLastColumn="0" w:lastRowFirstColumn="0" w:lastRowLastColumn="0"/>
            </w:pPr>
            <w:proofErr w:type="spellStart"/>
            <w:r w:rsidRPr="00324A26">
              <w:t>Rs</w:t>
            </w:r>
            <w:proofErr w:type="spellEnd"/>
            <w:r w:rsidRPr="00324A26">
              <w:t>. 3,000/-</w:t>
            </w:r>
          </w:p>
        </w:tc>
      </w:tr>
    </w:tbl>
    <w:p w:rsidR="00FB7964" w:rsidRDefault="00FB7964" w:rsidP="00FB7964">
      <w:r>
        <w:t>*</w:t>
      </w:r>
      <w:r w:rsidRPr="00324A26">
        <w:t>the am</w:t>
      </w:r>
      <w:r>
        <w:t>ount is inclusive of GST (r</w:t>
      </w:r>
      <w:r w:rsidRPr="00324A26">
        <w:t>ate – 18%)</w:t>
      </w:r>
    </w:p>
    <w:p w:rsidR="00626CBC" w:rsidRDefault="00626CBC" w:rsidP="00FB7964">
      <w:pPr>
        <w:keepNext/>
        <w:keepLines/>
        <w:outlineLvl w:val="1"/>
        <w:rPr>
          <w:rFonts w:ascii="Calibri Light" w:eastAsia="Times New Roman" w:hAnsi="Calibri Light"/>
          <w:color w:val="2F5496"/>
          <w:sz w:val="26"/>
          <w:szCs w:val="26"/>
        </w:rPr>
      </w:pPr>
    </w:p>
    <w:p w:rsidR="00FB7964" w:rsidRDefault="00FB7964" w:rsidP="00FB7964">
      <w:pPr>
        <w:keepNext/>
        <w:keepLines/>
        <w:outlineLvl w:val="1"/>
        <w:rPr>
          <w:rFonts w:ascii="Calibri Light" w:eastAsia="Times New Roman" w:hAnsi="Calibri Light"/>
          <w:color w:val="2F5496"/>
          <w:sz w:val="26"/>
          <w:szCs w:val="26"/>
        </w:rPr>
      </w:pPr>
      <w:r>
        <w:rPr>
          <w:rFonts w:ascii="Calibri Light" w:eastAsia="Times New Roman" w:hAnsi="Calibri Light"/>
          <w:color w:val="2F5496"/>
          <w:sz w:val="26"/>
          <w:szCs w:val="26"/>
        </w:rPr>
        <w:t xml:space="preserve">INSTRUCTIONS for Registration and Payment of Fees </w:t>
      </w:r>
    </w:p>
    <w:p w:rsidR="00FB7964" w:rsidRDefault="00FB7964" w:rsidP="00FB7964">
      <w:pPr>
        <w:keepNext/>
        <w:keepLines/>
        <w:outlineLvl w:val="1"/>
        <w:rPr>
          <w:rFonts w:ascii="Calibri Light" w:eastAsia="Times New Roman" w:hAnsi="Calibri Light"/>
          <w:color w:val="2F5496"/>
          <w:sz w:val="26"/>
          <w:szCs w:val="26"/>
        </w:rPr>
      </w:pPr>
    </w:p>
    <w:p w:rsidR="00FB7964" w:rsidRPr="00B219AD" w:rsidRDefault="00FB7964" w:rsidP="00FB7964">
      <w:pPr>
        <w:pStyle w:val="ListParagraph"/>
        <w:numPr>
          <w:ilvl w:val="0"/>
          <w:numId w:val="2"/>
        </w:numPr>
        <w:rPr>
          <w:rFonts w:eastAsia="Times New Roman"/>
        </w:rPr>
      </w:pPr>
      <w:r w:rsidRPr="00B219AD">
        <w:t xml:space="preserve">Please fill the registration form on the following link: </w:t>
      </w:r>
      <w:hyperlink r:id="rId8" w:tgtFrame="_blank" w:history="1">
        <w:r w:rsidRPr="00B219AD">
          <w:rPr>
            <w:rStyle w:val="Hyperlink"/>
            <w:rFonts w:cs="Arial"/>
            <w:color w:val="1155CC"/>
          </w:rPr>
          <w:t>https://</w:t>
        </w:r>
        <w:proofErr w:type="spellStart"/>
        <w:r w:rsidRPr="00B219AD">
          <w:rPr>
            <w:rStyle w:val="Hyperlink"/>
            <w:rFonts w:cs="Arial"/>
            <w:color w:val="1155CC"/>
          </w:rPr>
          <w:t>bit.ly</w:t>
        </w:r>
        <w:proofErr w:type="spellEnd"/>
        <w:r w:rsidRPr="00B219AD">
          <w:rPr>
            <w:rStyle w:val="Hyperlink"/>
            <w:rFonts w:cs="Arial"/>
            <w:color w:val="1155CC"/>
          </w:rPr>
          <w:t>/2PoTmBX</w:t>
        </w:r>
      </w:hyperlink>
    </w:p>
    <w:p w:rsidR="00040A0F" w:rsidRPr="00040A0F" w:rsidRDefault="00040A0F" w:rsidP="00040A0F">
      <w:pPr>
        <w:pStyle w:val="ListParagraph"/>
        <w:numPr>
          <w:ilvl w:val="0"/>
          <w:numId w:val="2"/>
        </w:numPr>
        <w:rPr>
          <w:rFonts w:eastAsia="Times New Roman"/>
        </w:rPr>
      </w:pPr>
      <w:r>
        <w:t>in case your organisation doesn’t have a GST number</w:t>
      </w:r>
      <w:r>
        <w:t>, p</w:t>
      </w:r>
      <w:r w:rsidR="00FB7964" w:rsidRPr="00B219AD">
        <w:t>lease downlo</w:t>
      </w:r>
      <w:r w:rsidR="00FB7964">
        <w:t>ad and fill the GST Declaration.</w:t>
      </w:r>
      <w:bookmarkStart w:id="0" w:name="_GoBack"/>
      <w:bookmarkEnd w:id="0"/>
    </w:p>
    <w:p w:rsidR="00FB7964" w:rsidRPr="00B219AD" w:rsidRDefault="00FB7964" w:rsidP="00FB7964">
      <w:pPr>
        <w:pStyle w:val="ListParagraph"/>
        <w:numPr>
          <w:ilvl w:val="0"/>
          <w:numId w:val="2"/>
        </w:numPr>
        <w:rPr>
          <w:rFonts w:eastAsia="Times New Roman"/>
        </w:rPr>
      </w:pPr>
      <w:r w:rsidRPr="00B219AD">
        <w:t>Please download and fi</w:t>
      </w:r>
      <w:r>
        <w:t>ll the Invoice Requisition form.</w:t>
      </w:r>
    </w:p>
    <w:p w:rsidR="00FB7964" w:rsidRPr="009D511C" w:rsidRDefault="00FB7964" w:rsidP="00FB7964">
      <w:pPr>
        <w:pStyle w:val="ListParagraph"/>
        <w:numPr>
          <w:ilvl w:val="0"/>
          <w:numId w:val="2"/>
        </w:numPr>
        <w:rPr>
          <w:rFonts w:eastAsia="Times New Roman"/>
        </w:rPr>
      </w:pPr>
      <w:r w:rsidRPr="00B219AD">
        <w:lastRenderedPageBreak/>
        <w:t>Kindly make the payment as per the instructions noted below.</w:t>
      </w:r>
    </w:p>
    <w:p w:rsidR="00FB7964" w:rsidRPr="009D511C" w:rsidRDefault="00FB7964" w:rsidP="00FB7964">
      <w:pPr>
        <w:pStyle w:val="ListParagraph"/>
        <w:numPr>
          <w:ilvl w:val="0"/>
          <w:numId w:val="2"/>
        </w:numPr>
        <w:rPr>
          <w:rFonts w:eastAsia="Times New Roman"/>
        </w:rPr>
      </w:pPr>
      <w:r w:rsidRPr="009D511C">
        <w:rPr>
          <w:b/>
          <w:bCs/>
          <w:color w:val="222222"/>
          <w:shd w:val="clear" w:color="auto" w:fill="FFFFFF"/>
        </w:rPr>
        <w:t>Please send the online receipt or UTR code of payments made to </w:t>
      </w:r>
      <w:proofErr w:type="spellStart"/>
      <w:r>
        <w:fldChar w:fldCharType="begin"/>
      </w:r>
      <w:r>
        <w:instrText xml:space="preserve"> HYPERLINK "http://tissaesdiiknowledgesharing@gmail.com" </w:instrText>
      </w:r>
      <w:r>
        <w:fldChar w:fldCharType="separate"/>
      </w:r>
      <w:r w:rsidRPr="009D511C">
        <w:rPr>
          <w:rStyle w:val="Hyperlink"/>
          <w:b/>
          <w:bCs/>
          <w:shd w:val="clear" w:color="auto" w:fill="FFFFFF"/>
        </w:rPr>
        <w:t>tissaesdiiknowledgesharing@gmail.com</w:t>
      </w:r>
      <w:proofErr w:type="spellEnd"/>
      <w:r>
        <w:rPr>
          <w:rStyle w:val="Hyperlink"/>
          <w:b/>
          <w:bCs/>
          <w:shd w:val="clear" w:color="auto" w:fill="FFFFFF"/>
        </w:rPr>
        <w:fldChar w:fldCharType="end"/>
      </w:r>
      <w:r w:rsidRPr="009D511C">
        <w:rPr>
          <w:b/>
          <w:color w:val="222222"/>
          <w:shd w:val="clear" w:color="auto" w:fill="FFFFFF"/>
        </w:rPr>
        <w:t xml:space="preserve"> along with the </w:t>
      </w:r>
      <w:r w:rsidRPr="009D511C">
        <w:rPr>
          <w:b/>
          <w:bCs/>
          <w:color w:val="222222"/>
          <w:shd w:val="clear" w:color="auto" w:fill="FFFFFF"/>
        </w:rPr>
        <w:t>GST Declaration and Invoice Requisition form.</w:t>
      </w:r>
    </w:p>
    <w:p w:rsidR="00FB7964" w:rsidRPr="00BD2C20" w:rsidRDefault="00FB7964" w:rsidP="00FB7964">
      <w:pPr>
        <w:keepNext/>
        <w:keepLines/>
        <w:outlineLvl w:val="1"/>
        <w:rPr>
          <w:rFonts w:ascii="Calibri Light" w:eastAsia="Times New Roman" w:hAnsi="Calibri Light"/>
          <w:color w:val="2F5496"/>
          <w:sz w:val="26"/>
          <w:szCs w:val="26"/>
        </w:rPr>
      </w:pPr>
    </w:p>
    <w:p w:rsidR="00FB7964" w:rsidRPr="008628D5" w:rsidRDefault="00FB7964" w:rsidP="00FB7964">
      <w:pPr>
        <w:rPr>
          <w:b/>
        </w:rPr>
      </w:pPr>
      <w:r w:rsidRPr="008628D5">
        <w:rPr>
          <w:rFonts w:ascii="Calibri Light" w:eastAsia="Times New Roman" w:hAnsi="Calibri Light"/>
          <w:b/>
          <w:color w:val="1F3763"/>
        </w:rPr>
        <w:t xml:space="preserve">Please make the payments on/ by Thursday, </w:t>
      </w:r>
      <w:r>
        <w:rPr>
          <w:rFonts w:ascii="Calibri Light" w:eastAsia="Times New Roman" w:hAnsi="Calibri Light"/>
          <w:b/>
          <w:color w:val="1F3763"/>
        </w:rPr>
        <w:t>25</w:t>
      </w:r>
      <w:r w:rsidRPr="0067552C">
        <w:rPr>
          <w:rFonts w:ascii="Calibri Light" w:eastAsia="Times New Roman" w:hAnsi="Calibri Light"/>
          <w:b/>
          <w:color w:val="1F3763"/>
          <w:vertAlign w:val="superscript"/>
        </w:rPr>
        <w:t>th</w:t>
      </w:r>
      <w:r>
        <w:rPr>
          <w:rFonts w:ascii="Calibri Light" w:eastAsia="Times New Roman" w:hAnsi="Calibri Light"/>
          <w:b/>
          <w:color w:val="1F3763"/>
        </w:rPr>
        <w:t xml:space="preserve"> October </w:t>
      </w:r>
      <w:r w:rsidRPr="008628D5">
        <w:rPr>
          <w:rFonts w:ascii="Calibri Light" w:eastAsia="Times New Roman" w:hAnsi="Calibri Light"/>
          <w:b/>
          <w:color w:val="1F3763"/>
        </w:rPr>
        <w:t>2018.</w:t>
      </w:r>
    </w:p>
    <w:p w:rsidR="00FB7964" w:rsidRDefault="00FB7964" w:rsidP="00FB7964">
      <w:pPr>
        <w:spacing w:before="100" w:beforeAutospacing="1" w:after="100" w:afterAutospacing="1"/>
      </w:pPr>
      <w:r>
        <w:t xml:space="preserve">The fees can be transferred to the following bank account directly. The details </w:t>
      </w:r>
      <w:r w:rsidRPr="004574A4">
        <w:t>for transfer of funds</w:t>
      </w:r>
      <w:r>
        <w:t xml:space="preserve"> are noted below:</w:t>
      </w:r>
    </w:p>
    <w:p w:rsidR="00FB7964" w:rsidRPr="0089729C" w:rsidRDefault="00FB7964" w:rsidP="00FB7964">
      <w:r w:rsidRPr="0089729C">
        <w:rPr>
          <w:rFonts w:ascii="Calibri Light" w:eastAsia="Times New Roman" w:hAnsi="Calibri Light"/>
          <w:color w:val="1F3763"/>
        </w:rPr>
        <w:t>Account Holder Name</w:t>
      </w:r>
      <w:r w:rsidRPr="0089729C">
        <w:t>: TATA INSTITUTE OF SOCIAL SCIENCES PROJECT ACCOUNT</w:t>
      </w:r>
    </w:p>
    <w:p w:rsidR="00FB7964" w:rsidRPr="0089729C" w:rsidRDefault="00FB7964" w:rsidP="00FB7964">
      <w:r w:rsidRPr="0089729C">
        <w:rPr>
          <w:rFonts w:ascii="Calibri Light" w:eastAsia="Times New Roman" w:hAnsi="Calibri Light"/>
          <w:color w:val="1F3763"/>
        </w:rPr>
        <w:t>Account No</w:t>
      </w:r>
      <w:r w:rsidRPr="0089729C">
        <w:t>:  0765104000038289</w:t>
      </w:r>
    </w:p>
    <w:p w:rsidR="00FB7964" w:rsidRPr="0089729C" w:rsidRDefault="00FB7964" w:rsidP="00FB7964">
      <w:r w:rsidRPr="0089729C">
        <w:rPr>
          <w:rFonts w:ascii="Calibri Light" w:eastAsia="Times New Roman" w:hAnsi="Calibri Light"/>
          <w:color w:val="1F3763"/>
        </w:rPr>
        <w:t>Bank Name:</w:t>
      </w:r>
      <w:r w:rsidRPr="0089729C">
        <w:t xml:space="preserve">   IDBI Bank</w:t>
      </w:r>
    </w:p>
    <w:p w:rsidR="00FB7964" w:rsidRPr="0089729C" w:rsidRDefault="00FB7964" w:rsidP="00FB7964">
      <w:r w:rsidRPr="0089729C">
        <w:rPr>
          <w:rFonts w:ascii="Calibri Light" w:eastAsia="Times New Roman" w:hAnsi="Calibri Light"/>
          <w:color w:val="1F3763"/>
        </w:rPr>
        <w:t>IFS Code:</w:t>
      </w:r>
      <w:r w:rsidRPr="0089729C">
        <w:t xml:space="preserve"> IBKL0000765</w:t>
      </w:r>
    </w:p>
    <w:p w:rsidR="00FB7964" w:rsidRPr="0089729C" w:rsidRDefault="00FB7964" w:rsidP="00FB7964">
      <w:r w:rsidRPr="0089729C">
        <w:rPr>
          <w:rFonts w:ascii="Calibri Light" w:eastAsia="Times New Roman" w:hAnsi="Calibri Light"/>
          <w:color w:val="1F3763"/>
        </w:rPr>
        <w:t>SWIFT Code</w:t>
      </w:r>
      <w:r w:rsidRPr="0089729C">
        <w:t>: IBKLINBB126</w:t>
      </w:r>
    </w:p>
    <w:p w:rsidR="00FB7964" w:rsidRPr="0089729C" w:rsidRDefault="00FB7964" w:rsidP="00FB7964">
      <w:r w:rsidRPr="0089729C">
        <w:rPr>
          <w:rFonts w:ascii="Calibri Light" w:eastAsia="Times New Roman" w:hAnsi="Calibri Light"/>
          <w:color w:val="1F3763"/>
        </w:rPr>
        <w:t>Branch Code:</w:t>
      </w:r>
      <w:r w:rsidRPr="0089729C">
        <w:t xml:space="preserve"> 765</w:t>
      </w:r>
    </w:p>
    <w:p w:rsidR="00FB7964" w:rsidRPr="0089729C" w:rsidRDefault="00FB7964" w:rsidP="00FB7964">
      <w:r w:rsidRPr="0089729C">
        <w:rPr>
          <w:rFonts w:ascii="Calibri Light" w:eastAsia="Times New Roman" w:hAnsi="Calibri Light"/>
          <w:color w:val="1F3763"/>
        </w:rPr>
        <w:t>MICR:</w:t>
      </w:r>
      <w:r w:rsidRPr="0089729C">
        <w:t xml:space="preserve"> 400259090</w:t>
      </w:r>
    </w:p>
    <w:p w:rsidR="00FB7964" w:rsidRPr="0089729C" w:rsidRDefault="00FB7964" w:rsidP="00FB7964">
      <w:r w:rsidRPr="0089729C">
        <w:rPr>
          <w:rFonts w:ascii="Calibri Light" w:eastAsia="Times New Roman" w:hAnsi="Calibri Light"/>
          <w:color w:val="1F3763"/>
        </w:rPr>
        <w:t>Bank Address:</w:t>
      </w:r>
      <w:r w:rsidRPr="0089729C">
        <w:t xml:space="preserve"> IDBI Bank</w:t>
      </w:r>
    </w:p>
    <w:p w:rsidR="00FB7964" w:rsidRPr="0089729C" w:rsidRDefault="00FB7964" w:rsidP="00FB7964">
      <w:pPr>
        <w:ind w:left="1440"/>
      </w:pPr>
      <w:proofErr w:type="spellStart"/>
      <w:r w:rsidRPr="0089729C">
        <w:t>Deonar</w:t>
      </w:r>
      <w:proofErr w:type="spellEnd"/>
      <w:r w:rsidRPr="0089729C">
        <w:t xml:space="preserve"> branch</w:t>
      </w:r>
    </w:p>
    <w:p w:rsidR="00FB7964" w:rsidRPr="0089729C" w:rsidRDefault="00FB7964" w:rsidP="00FB7964">
      <w:pPr>
        <w:ind w:left="1440"/>
      </w:pPr>
      <w:r w:rsidRPr="0089729C">
        <w:t xml:space="preserve">Unit no: 1, </w:t>
      </w:r>
      <w:proofErr w:type="spellStart"/>
      <w:r w:rsidRPr="0089729C">
        <w:t>Safal</w:t>
      </w:r>
      <w:proofErr w:type="spellEnd"/>
      <w:r w:rsidRPr="0089729C">
        <w:t xml:space="preserve"> Pride</w:t>
      </w:r>
    </w:p>
    <w:p w:rsidR="00FB7964" w:rsidRPr="0089729C" w:rsidRDefault="00FB7964" w:rsidP="00FB7964">
      <w:pPr>
        <w:ind w:left="1440"/>
      </w:pPr>
      <w:r w:rsidRPr="0089729C">
        <w:t>Sion-</w:t>
      </w:r>
      <w:proofErr w:type="spellStart"/>
      <w:r w:rsidRPr="0089729C">
        <w:t>Trombay</w:t>
      </w:r>
      <w:proofErr w:type="spellEnd"/>
      <w:r w:rsidRPr="0089729C">
        <w:t xml:space="preserve"> Road</w:t>
      </w:r>
    </w:p>
    <w:p w:rsidR="00FB7964" w:rsidRPr="0089729C" w:rsidRDefault="00FB7964" w:rsidP="00FB7964">
      <w:pPr>
        <w:ind w:left="1440"/>
      </w:pPr>
      <w:proofErr w:type="spellStart"/>
      <w:r w:rsidRPr="0089729C">
        <w:t>Deonar</w:t>
      </w:r>
      <w:proofErr w:type="spellEnd"/>
      <w:r w:rsidRPr="0089729C">
        <w:t>, Mumbai-400088</w:t>
      </w:r>
    </w:p>
    <w:p w:rsidR="00FB7964" w:rsidRDefault="00FB7964" w:rsidP="00FB7964">
      <w:pPr>
        <w:keepNext/>
        <w:keepLines/>
        <w:pBdr>
          <w:bottom w:val="single" w:sz="4" w:space="1" w:color="auto"/>
        </w:pBdr>
        <w:outlineLvl w:val="2"/>
      </w:pPr>
      <w:r w:rsidRPr="0089729C">
        <w:rPr>
          <w:rFonts w:ascii="Calibri Light" w:eastAsia="Times New Roman" w:hAnsi="Calibri Light"/>
          <w:color w:val="1F3763"/>
        </w:rPr>
        <w:t>Permanent Account Number:</w:t>
      </w:r>
      <w:r w:rsidRPr="0089729C">
        <w:t xml:space="preserve"> AAATT4224B</w:t>
      </w:r>
    </w:p>
    <w:p w:rsidR="00172A80" w:rsidRPr="00A11C14" w:rsidRDefault="00172A80" w:rsidP="00172A80">
      <w:pPr>
        <w:autoSpaceDE w:val="0"/>
        <w:autoSpaceDN w:val="0"/>
        <w:adjustRightInd w:val="0"/>
        <w:spacing w:line="0" w:lineRule="atLeast"/>
        <w:rPr>
          <w:rFonts w:eastAsia="Times New Roman" w:cstheme="majorHAnsi"/>
          <w:color w:val="222222"/>
          <w:sz w:val="22"/>
          <w:szCs w:val="22"/>
          <w:lang w:val="en-IN" w:eastAsia="en-IN"/>
        </w:rPr>
      </w:pPr>
    </w:p>
    <w:p w:rsidR="00172A80" w:rsidRDefault="00172A80" w:rsidP="00172A80">
      <w:pPr>
        <w:jc w:val="both"/>
        <w:rPr>
          <w:rFonts w:eastAsia="Times New Roman" w:cstheme="majorHAnsi"/>
          <w:bCs/>
          <w:color w:val="000000"/>
          <w:sz w:val="22"/>
          <w:szCs w:val="22"/>
          <w:lang w:val="en-IN" w:eastAsia="en-IN"/>
        </w:rPr>
      </w:pPr>
    </w:p>
    <w:p w:rsidR="00626CBC" w:rsidRDefault="00626CBC" w:rsidP="00172A80">
      <w:pPr>
        <w:jc w:val="both"/>
        <w:rPr>
          <w:rFonts w:eastAsia="Times New Roman" w:cstheme="majorHAnsi"/>
          <w:bCs/>
          <w:color w:val="000000"/>
          <w:sz w:val="22"/>
          <w:szCs w:val="22"/>
          <w:lang w:val="en-IN" w:eastAsia="en-IN"/>
        </w:rPr>
      </w:pPr>
    </w:p>
    <w:p w:rsidR="00626CBC" w:rsidRDefault="00626CBC" w:rsidP="00172A80">
      <w:pPr>
        <w:jc w:val="both"/>
        <w:rPr>
          <w:rFonts w:eastAsia="Times New Roman" w:cstheme="majorHAnsi"/>
          <w:bCs/>
          <w:color w:val="000000"/>
          <w:sz w:val="22"/>
          <w:szCs w:val="22"/>
          <w:lang w:val="en-IN" w:eastAsia="en-IN"/>
        </w:rPr>
      </w:pPr>
    </w:p>
    <w:p w:rsidR="00626CBC" w:rsidRDefault="00626CBC" w:rsidP="00172A80">
      <w:pPr>
        <w:jc w:val="both"/>
        <w:rPr>
          <w:rFonts w:eastAsia="Times New Roman" w:cstheme="majorHAnsi"/>
          <w:bCs/>
          <w:color w:val="000000"/>
          <w:sz w:val="22"/>
          <w:szCs w:val="22"/>
          <w:lang w:val="en-IN" w:eastAsia="en-IN"/>
        </w:rPr>
      </w:pPr>
    </w:p>
    <w:p w:rsidR="00626CBC" w:rsidRDefault="00626CBC" w:rsidP="00172A80">
      <w:pPr>
        <w:jc w:val="both"/>
        <w:rPr>
          <w:rFonts w:eastAsia="Times New Roman" w:cstheme="majorHAnsi"/>
          <w:bCs/>
          <w:color w:val="000000"/>
          <w:sz w:val="22"/>
          <w:szCs w:val="22"/>
          <w:lang w:val="en-IN" w:eastAsia="en-IN"/>
        </w:rPr>
      </w:pPr>
    </w:p>
    <w:sectPr w:rsidR="00626CBC" w:rsidSect="00FB796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0869"/>
    <w:multiLevelType w:val="hybridMultilevel"/>
    <w:tmpl w:val="38846832"/>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8B4CFB"/>
    <w:multiLevelType w:val="hybridMultilevel"/>
    <w:tmpl w:val="E230ED76"/>
    <w:lvl w:ilvl="0" w:tplc="55C4C4CC">
      <w:start w:val="1"/>
      <w:numFmt w:val="decimal"/>
      <w:lvlText w:val="%1)"/>
      <w:lvlJc w:val="left"/>
      <w:pPr>
        <w:ind w:left="720" w:hanging="360"/>
      </w:pPr>
      <w:rPr>
        <w:rFonts w:ascii="Calibri Light" w:hAnsi="Calibri Light" w:hint="default"/>
        <w:color w:val="2F5496"/>
        <w:sz w:val="26"/>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80"/>
    <w:rsid w:val="00040A0F"/>
    <w:rsid w:val="00172A80"/>
    <w:rsid w:val="001E7126"/>
    <w:rsid w:val="00626CBC"/>
    <w:rsid w:val="00685B86"/>
    <w:rsid w:val="009B1607"/>
    <w:rsid w:val="00A03E8D"/>
    <w:rsid w:val="00A07A4B"/>
    <w:rsid w:val="00C9529E"/>
    <w:rsid w:val="00FB79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501D"/>
  <w15:chartTrackingRefBased/>
  <w15:docId w15:val="{520EB325-B79D-354A-8D7C-09EDF31A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B7964"/>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IN"/>
    </w:rPr>
  </w:style>
  <w:style w:type="paragraph" w:styleId="Heading2">
    <w:name w:val="heading 2"/>
    <w:basedOn w:val="Normal"/>
    <w:next w:val="Normal"/>
    <w:link w:val="Heading2Char"/>
    <w:uiPriority w:val="9"/>
    <w:unhideWhenUsed/>
    <w:qFormat/>
    <w:rsid w:val="00FB796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A80"/>
    <w:rPr>
      <w:color w:val="0000FF"/>
      <w:u w:val="single"/>
    </w:rPr>
  </w:style>
  <w:style w:type="paragraph" w:styleId="ListParagraph">
    <w:name w:val="List Paragraph"/>
    <w:basedOn w:val="Normal"/>
    <w:uiPriority w:val="34"/>
    <w:qFormat/>
    <w:rsid w:val="00172A80"/>
    <w:pPr>
      <w:ind w:left="720"/>
      <w:contextualSpacing/>
    </w:pPr>
  </w:style>
  <w:style w:type="character" w:customStyle="1" w:styleId="Heading1Char">
    <w:name w:val="Heading 1 Char"/>
    <w:basedOn w:val="DefaultParagraphFont"/>
    <w:link w:val="Heading1"/>
    <w:uiPriority w:val="9"/>
    <w:rsid w:val="00FB79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7964"/>
    <w:rPr>
      <w:rFonts w:asciiTheme="majorHAnsi" w:eastAsiaTheme="majorEastAsia" w:hAnsiTheme="majorHAnsi" w:cstheme="majorBidi"/>
      <w:color w:val="2F5496" w:themeColor="accent1" w:themeShade="BF"/>
      <w:sz w:val="26"/>
      <w:szCs w:val="26"/>
    </w:rPr>
  </w:style>
  <w:style w:type="table" w:styleId="GridTable1Light-Accent5">
    <w:name w:val="Grid Table 1 Light Accent 5"/>
    <w:basedOn w:val="TableNormal"/>
    <w:uiPriority w:val="46"/>
    <w:rsid w:val="00FB796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26C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PoTmBX" TargetMode="External"/><Relationship Id="rId3" Type="http://schemas.openxmlformats.org/officeDocument/2006/relationships/settings" Target="settings.xml"/><Relationship Id="rId7" Type="http://schemas.openxmlformats.org/officeDocument/2006/relationships/hyperlink" Target="http://tissaesdiiknowledgeshar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JgU7LqfKU8" TargetMode="External"/><Relationship Id="rId5" Type="http://schemas.openxmlformats.org/officeDocument/2006/relationships/hyperlink" Target="https://goo.gl/f51Y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Misra</dc:creator>
  <cp:keywords/>
  <dc:description/>
  <cp:lastModifiedBy>Ami Misra</cp:lastModifiedBy>
  <cp:revision>4</cp:revision>
  <dcterms:created xsi:type="dcterms:W3CDTF">2018-10-15T10:55:00Z</dcterms:created>
  <dcterms:modified xsi:type="dcterms:W3CDTF">2018-10-17T09:39:00Z</dcterms:modified>
</cp:coreProperties>
</file>